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306829">
        <w:rPr>
          <w:rFonts w:ascii="Arial" w:hAnsi="Arial" w:cs="Arial"/>
          <w:sz w:val="24"/>
          <w:szCs w:val="24"/>
        </w:rPr>
        <w:t>Lázaro Soares da Rocha, defronte o nº 104 na Vila Bética.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829" w:rsidRDefault="00A35AE9" w:rsidP="0030682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de lâmpada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4A67DD">
        <w:rPr>
          <w:rFonts w:ascii="Arial" w:hAnsi="Arial" w:cs="Arial"/>
          <w:sz w:val="24"/>
          <w:szCs w:val="24"/>
        </w:rPr>
        <w:t xml:space="preserve">Rua </w:t>
      </w:r>
      <w:r w:rsidR="00306829">
        <w:rPr>
          <w:rFonts w:ascii="Arial" w:hAnsi="Arial" w:cs="Arial"/>
          <w:sz w:val="24"/>
          <w:szCs w:val="24"/>
        </w:rPr>
        <w:t>Lázaro Soares da Rocha, defronte o nº 104 na Vila Bética.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54016a890345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01d1ba-e966-4b8d-bcde-c334e0d2ebe2.png" Id="R83bdc030fc11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01d1ba-e966-4b8d-bcde-c334e0d2ebe2.png" Id="R5454016a890345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C900-EA7C-4EC1-8709-B527B19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110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2016-12-06T16:10:00Z</dcterms:modified>
</cp:coreProperties>
</file>