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B7263E">
        <w:rPr>
          <w:rFonts w:ascii="Arial" w:hAnsi="Arial" w:cs="Arial"/>
          <w:sz w:val="24"/>
          <w:szCs w:val="24"/>
        </w:rPr>
        <w:t>Casa Branca, próximo ao nº 110, no bairro Residencial São Joaquim II.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B7263E">
        <w:rPr>
          <w:rFonts w:ascii="Arial" w:hAnsi="Arial" w:cs="Arial"/>
          <w:sz w:val="24"/>
          <w:szCs w:val="24"/>
        </w:rPr>
        <w:t>Rua Casa Branca, próximo ao nº 110, no bairro Residencial São Joaquim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263E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7263E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f6146902b246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263E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f254f9-15f8-4f43-9cb2-5f78a16c88b6.png" Id="R2ae53ad03a084e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f254f9-15f8-4f43-9cb2-5f78a16c88b6.png" Id="R7df6146902b246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2016-09-08T20:49:00Z</dcterms:created>
  <dcterms:modified xsi:type="dcterms:W3CDTF">2016-09-08T20:49:00Z</dcterms:modified>
</cp:coreProperties>
</file>