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637EDE">
        <w:rPr>
          <w:rFonts w:ascii="Arial" w:hAnsi="Arial" w:cs="Arial"/>
          <w:sz w:val="24"/>
          <w:szCs w:val="24"/>
        </w:rPr>
        <w:t>Casa Branca esquina com a Rua Bragança Paulista, no bairro Residencial São Joaquim II.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37EDE">
        <w:rPr>
          <w:rFonts w:ascii="Arial" w:hAnsi="Arial" w:cs="Arial"/>
          <w:sz w:val="24"/>
          <w:szCs w:val="24"/>
        </w:rPr>
        <w:t>Rua Casa Branca esquina com a Rua Bragança Paulista, no bairro Residencial São Joaquim II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ED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37EDE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279e41303a40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7EDE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d19a09-d745-4372-9fbb-bde13510de2a.png" Id="R7c624d66aa364e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d19a09-d745-4372-9fbb-bde13510de2a.png" Id="R7a279e41303a40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2016-09-08T20:54:00Z</dcterms:created>
  <dcterms:modified xsi:type="dcterms:W3CDTF">2016-09-08T20:54:00Z</dcterms:modified>
</cp:coreProperties>
</file>