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494CF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 operação ‘tapa-buracos” n</w:t>
      </w:r>
      <w:r>
        <w:rPr>
          <w:rFonts w:ascii="Arial" w:hAnsi="Arial" w:cs="Arial"/>
          <w:sz w:val="24"/>
          <w:szCs w:val="24"/>
        </w:rPr>
        <w:t xml:space="preserve">a </w:t>
      </w:r>
      <w:r w:rsidR="00BE323B" w:rsidRPr="00F75516"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>Gal. Orlando Geisel, próximo à Rua 16 de Dezembro, no Bairro 31 de Março.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94CF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494CF5">
        <w:rPr>
          <w:rFonts w:ascii="Arial" w:hAnsi="Arial" w:cs="Arial"/>
          <w:bCs/>
          <w:sz w:val="24"/>
          <w:szCs w:val="24"/>
        </w:rPr>
        <w:t>Gal. Orlando Geisel, próximo à Rua 16 de Dezembro, no Bairro 31 de Março,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4CF5">
        <w:rPr>
          <w:rFonts w:ascii="Arial" w:hAnsi="Arial" w:cs="Arial"/>
          <w:sz w:val="24"/>
          <w:szCs w:val="24"/>
        </w:rPr>
        <w:t>0</w:t>
      </w:r>
      <w:r w:rsidR="005E57D2" w:rsidRPr="00F75516">
        <w:rPr>
          <w:rFonts w:ascii="Arial" w:hAnsi="Arial" w:cs="Arial"/>
          <w:sz w:val="24"/>
          <w:szCs w:val="24"/>
        </w:rPr>
        <w:t>7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494CF5">
        <w:rPr>
          <w:rFonts w:ascii="Arial" w:hAnsi="Arial" w:cs="Arial"/>
          <w:sz w:val="24"/>
          <w:szCs w:val="24"/>
        </w:rPr>
        <w:t>junh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494CF5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94CF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494CF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CE" w:rsidRDefault="00F569CE">
      <w:r>
        <w:separator/>
      </w:r>
    </w:p>
  </w:endnote>
  <w:endnote w:type="continuationSeparator" w:id="0">
    <w:p w:rsidR="00F569CE" w:rsidRDefault="00F5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CE" w:rsidRDefault="00F569CE">
      <w:r>
        <w:separator/>
      </w:r>
    </w:p>
  </w:footnote>
  <w:footnote w:type="continuationSeparator" w:id="0">
    <w:p w:rsidR="00F569CE" w:rsidRDefault="00F5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4C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a15458584644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94CF5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569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1d2257-cb92-47a7-a8de-2219b7fcaa8d.png" Id="Rf40998a258f141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41d2257-cb92-47a7-a8de-2219b7fcaa8d.png" Id="R3aa15458584644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2016-06-07T15:06:00Z</dcterms:created>
  <dcterms:modified xsi:type="dcterms:W3CDTF">2016-06-07T15:06:00Z</dcterms:modified>
</cp:coreProperties>
</file>