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</w:t>
      </w:r>
      <w:r w:rsidR="00E02C54">
        <w:rPr>
          <w:rFonts w:ascii="Arial" w:hAnsi="Arial" w:cs="Arial"/>
          <w:sz w:val="24"/>
          <w:szCs w:val="24"/>
        </w:rPr>
        <w:t xml:space="preserve">afundamento em </w:t>
      </w:r>
      <w:r w:rsidR="00EA441F">
        <w:rPr>
          <w:rFonts w:ascii="Arial" w:hAnsi="Arial" w:cs="Arial"/>
          <w:sz w:val="24"/>
          <w:szCs w:val="24"/>
        </w:rPr>
        <w:t xml:space="preserve">guia </w:t>
      </w:r>
      <w:r w:rsidR="00E31377">
        <w:rPr>
          <w:rFonts w:ascii="Arial" w:hAnsi="Arial" w:cs="Arial"/>
          <w:sz w:val="24"/>
          <w:szCs w:val="24"/>
        </w:rPr>
        <w:t xml:space="preserve">e </w:t>
      </w:r>
      <w:r w:rsidR="00550EE7">
        <w:rPr>
          <w:rFonts w:ascii="Arial" w:hAnsi="Arial" w:cs="Arial"/>
          <w:sz w:val="24"/>
          <w:szCs w:val="24"/>
        </w:rPr>
        <w:t xml:space="preserve">sarjeta na </w:t>
      </w:r>
      <w:r w:rsidR="00E02C54">
        <w:rPr>
          <w:rFonts w:ascii="Arial" w:hAnsi="Arial" w:cs="Arial"/>
          <w:sz w:val="24"/>
          <w:szCs w:val="24"/>
        </w:rPr>
        <w:t xml:space="preserve">Rua Lucia </w:t>
      </w:r>
      <w:proofErr w:type="spellStart"/>
      <w:r w:rsidR="00E02C54">
        <w:rPr>
          <w:rFonts w:ascii="Arial" w:hAnsi="Arial" w:cs="Arial"/>
          <w:sz w:val="24"/>
          <w:szCs w:val="24"/>
        </w:rPr>
        <w:t>Iatarola</w:t>
      </w:r>
      <w:proofErr w:type="spellEnd"/>
      <w:r w:rsidR="00E02C54">
        <w:rPr>
          <w:rFonts w:ascii="Arial" w:hAnsi="Arial" w:cs="Arial"/>
          <w:sz w:val="24"/>
          <w:szCs w:val="24"/>
        </w:rPr>
        <w:t xml:space="preserve"> Crespo</w:t>
      </w:r>
      <w:r w:rsidR="00550EE7">
        <w:rPr>
          <w:rFonts w:ascii="Arial" w:hAnsi="Arial" w:cs="Arial"/>
          <w:sz w:val="24"/>
          <w:szCs w:val="24"/>
        </w:rPr>
        <w:t xml:space="preserve">, nº </w:t>
      </w:r>
      <w:r w:rsidR="00E02C54">
        <w:rPr>
          <w:rFonts w:ascii="Arial" w:hAnsi="Arial" w:cs="Arial"/>
          <w:sz w:val="24"/>
          <w:szCs w:val="24"/>
        </w:rPr>
        <w:t>176</w:t>
      </w:r>
      <w:r w:rsidR="00550EE7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550EE7">
        <w:rPr>
          <w:rFonts w:ascii="Arial" w:hAnsi="Arial" w:cs="Arial"/>
          <w:sz w:val="24"/>
          <w:szCs w:val="24"/>
        </w:rPr>
        <w:t xml:space="preserve">bairro </w:t>
      </w:r>
      <w:r w:rsidR="00E02C54">
        <w:rPr>
          <w:rFonts w:ascii="Arial" w:hAnsi="Arial" w:cs="Arial"/>
          <w:sz w:val="24"/>
          <w:szCs w:val="24"/>
        </w:rPr>
        <w:t>Nova</w:t>
      </w:r>
      <w:proofErr w:type="gramEnd"/>
      <w:r w:rsidR="00E02C54">
        <w:rPr>
          <w:rFonts w:ascii="Arial" w:hAnsi="Arial" w:cs="Arial"/>
          <w:sz w:val="24"/>
          <w:szCs w:val="24"/>
        </w:rPr>
        <w:t xml:space="preserve">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31377">
        <w:rPr>
          <w:rFonts w:ascii="Arial" w:hAnsi="Arial" w:cs="Arial"/>
          <w:sz w:val="24"/>
          <w:szCs w:val="24"/>
        </w:rPr>
        <w:t xml:space="preserve">o conserto </w:t>
      </w:r>
      <w:r w:rsidR="00E02C54">
        <w:rPr>
          <w:rFonts w:ascii="Arial" w:hAnsi="Arial" w:cs="Arial"/>
          <w:sz w:val="24"/>
          <w:szCs w:val="24"/>
        </w:rPr>
        <w:t xml:space="preserve">afundamento em guia e sarjeta na Rua Lucia </w:t>
      </w:r>
      <w:proofErr w:type="spellStart"/>
      <w:r w:rsidR="00E02C54">
        <w:rPr>
          <w:rFonts w:ascii="Arial" w:hAnsi="Arial" w:cs="Arial"/>
          <w:sz w:val="24"/>
          <w:szCs w:val="24"/>
        </w:rPr>
        <w:t>Iatarola</w:t>
      </w:r>
      <w:proofErr w:type="spellEnd"/>
      <w:r w:rsidR="00E02C54">
        <w:rPr>
          <w:rFonts w:ascii="Arial" w:hAnsi="Arial" w:cs="Arial"/>
          <w:sz w:val="24"/>
          <w:szCs w:val="24"/>
        </w:rPr>
        <w:t xml:space="preserve"> Crespo, </w:t>
      </w:r>
      <w:r w:rsidR="00E02C54">
        <w:rPr>
          <w:rFonts w:ascii="Arial" w:hAnsi="Arial" w:cs="Arial"/>
          <w:sz w:val="24"/>
          <w:szCs w:val="24"/>
        </w:rPr>
        <w:t xml:space="preserve">defronte ao </w:t>
      </w:r>
      <w:r w:rsidR="00E02C54">
        <w:rPr>
          <w:rFonts w:ascii="Arial" w:hAnsi="Arial" w:cs="Arial"/>
          <w:sz w:val="24"/>
          <w:szCs w:val="24"/>
        </w:rPr>
        <w:t>nº 176, no bairro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550EE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”, p</w:t>
      </w:r>
      <w:r w:rsidR="00E31377">
        <w:rPr>
          <w:rFonts w:ascii="Arial" w:hAnsi="Arial" w:cs="Arial"/>
        </w:rPr>
        <w:t>o</w:t>
      </w:r>
      <w:r w:rsidR="00A35AE9" w:rsidRPr="00F75516">
        <w:rPr>
          <w:rFonts w:ascii="Arial" w:hAnsi="Arial" w:cs="Arial"/>
        </w:rPr>
        <w:t xml:space="preserve">de constatar </w:t>
      </w:r>
      <w:r>
        <w:rPr>
          <w:rFonts w:ascii="Arial" w:hAnsi="Arial" w:cs="Arial"/>
        </w:rPr>
        <w:t xml:space="preserve">que </w:t>
      </w:r>
      <w:r w:rsidR="00550EE7">
        <w:rPr>
          <w:rFonts w:ascii="Arial" w:hAnsi="Arial" w:cs="Arial"/>
        </w:rPr>
        <w:t>a</w:t>
      </w:r>
      <w:r w:rsidR="00E31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guia </w:t>
      </w:r>
      <w:r w:rsidR="00550EE7">
        <w:rPr>
          <w:rFonts w:ascii="Arial" w:hAnsi="Arial" w:cs="Arial"/>
        </w:rPr>
        <w:t xml:space="preserve">e sarjeta </w:t>
      </w:r>
      <w:r>
        <w:rPr>
          <w:rFonts w:ascii="Arial" w:hAnsi="Arial" w:cs="Arial"/>
        </w:rPr>
        <w:t xml:space="preserve">no local </w:t>
      </w:r>
      <w:r w:rsidR="00E02C54">
        <w:rPr>
          <w:rFonts w:ascii="Arial" w:hAnsi="Arial" w:cs="Arial"/>
        </w:rPr>
        <w:t>apresentam afundamento. O buraco começou a se formar depois da transferência de um bueiro que existia no local e foi fechado. O afundamento que atinge a guia e sarjeta começa a ameaçar a calçada – fato este que oferece risco aos moradores do imóvel e também a seus vizinhos, que pedem medidas urgentes por parte do Poder Público.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0EE7">
        <w:rPr>
          <w:rFonts w:ascii="Arial" w:hAnsi="Arial" w:cs="Arial"/>
          <w:sz w:val="24"/>
          <w:szCs w:val="24"/>
        </w:rPr>
        <w:t>2</w:t>
      </w:r>
      <w:r w:rsidR="00E02C5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50EE7">
        <w:rPr>
          <w:rFonts w:ascii="Arial" w:hAnsi="Arial" w:cs="Arial"/>
          <w:sz w:val="24"/>
          <w:szCs w:val="24"/>
        </w:rPr>
        <w:t xml:space="preserve"> de abril</w:t>
      </w:r>
      <w:r w:rsidR="0016167E">
        <w:rPr>
          <w:rFonts w:ascii="Arial" w:hAnsi="Arial" w:cs="Arial"/>
          <w:sz w:val="24"/>
          <w:szCs w:val="24"/>
        </w:rPr>
        <w:t xml:space="preserve"> de 2.01</w:t>
      </w:r>
      <w:r w:rsidR="00E31377">
        <w:rPr>
          <w:rFonts w:ascii="Arial" w:hAnsi="Arial" w:cs="Arial"/>
          <w:sz w:val="24"/>
          <w:szCs w:val="24"/>
        </w:rPr>
        <w:t>6</w:t>
      </w:r>
      <w:r w:rsidR="001616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313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C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02C5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af45a5f01842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6167E"/>
    <w:rsid w:val="001B478A"/>
    <w:rsid w:val="001D1394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550EE7"/>
    <w:rsid w:val="00705ABB"/>
    <w:rsid w:val="00746215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02C54"/>
    <w:rsid w:val="00E31377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af5e08-f49a-46a1-9d65-3305b126af30.png" Id="Rd06e3a6bd357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af5e08-f49a-46a1-9d65-3305b126af30.png" Id="Raeaf45a5f01842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16</cp:revision>
  <cp:lastPrinted>2016-04-29T18:48:00Z</cp:lastPrinted>
  <dcterms:created xsi:type="dcterms:W3CDTF">2014-01-14T16:57:00Z</dcterms:created>
  <dcterms:modified xsi:type="dcterms:W3CDTF">2016-04-29T18:48:00Z</dcterms:modified>
</cp:coreProperties>
</file>