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0A40C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0A40C7">
        <w:rPr>
          <w:rFonts w:ascii="Arial" w:hAnsi="Arial" w:cs="Arial"/>
          <w:sz w:val="24"/>
          <w:szCs w:val="24"/>
        </w:rPr>
        <w:t>rotatória da Avenida Mogi Guaçu, no bairro Jardim das Laranjeiras.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0A40C7">
        <w:rPr>
          <w:rFonts w:ascii="Arial" w:hAnsi="Arial" w:cs="Arial"/>
          <w:sz w:val="24"/>
          <w:szCs w:val="24"/>
        </w:rPr>
        <w:t>na rotatória da Avenida Mogi Guaçu, no bairro Jardim das Laranjeiras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0A40C7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de </w:t>
      </w:r>
      <w:r w:rsidR="000A40C7">
        <w:rPr>
          <w:rFonts w:ascii="Arial" w:hAnsi="Arial" w:cs="Arial"/>
          <w:sz w:val="24"/>
          <w:szCs w:val="24"/>
        </w:rPr>
        <w:t>março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f7537bb6fd4c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0C7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04cdb5-c610-44ed-bce2-c955452ea542.png" Id="R9923851ac7ae44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04cdb5-c610-44ed-bce2-c955452ea542.png" Id="R30f7537bb6fd4c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2016-03-10T15:09:00Z</dcterms:created>
  <dcterms:modified xsi:type="dcterms:W3CDTF">2016-03-10T15:09:00Z</dcterms:modified>
</cp:coreProperties>
</file>