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>revitalização da camada asfáltica de Rua localizada na Vila Boldri</w:t>
      </w:r>
      <w:r w:rsidR="00406A8F">
        <w:rPr>
          <w:rFonts w:ascii="Arial" w:hAnsi="Arial" w:cs="Arial"/>
          <w:sz w:val="24"/>
          <w:szCs w:val="24"/>
        </w:rPr>
        <w:t>n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>revitalização da camada asfáltica da Rua João Batista Furlan, próximo à residência de número 204,</w:t>
      </w:r>
      <w:r w:rsidR="006339E2">
        <w:rPr>
          <w:rFonts w:ascii="Arial" w:hAnsi="Arial" w:cs="Arial"/>
          <w:bCs/>
          <w:sz w:val="24"/>
          <w:szCs w:val="24"/>
        </w:rPr>
        <w:t xml:space="preserve"> </w:t>
      </w:r>
      <w:r w:rsidR="00370B63">
        <w:rPr>
          <w:rFonts w:ascii="Arial" w:hAnsi="Arial" w:cs="Arial"/>
          <w:bCs/>
          <w:sz w:val="24"/>
          <w:szCs w:val="24"/>
        </w:rPr>
        <w:t>Vila Boldrin</w:t>
      </w:r>
      <w:r w:rsidR="00C01D9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</w:t>
      </w:r>
      <w:r w:rsidR="006339E2">
        <w:rPr>
          <w:rFonts w:ascii="Arial" w:hAnsi="Arial" w:cs="Arial"/>
          <w:sz w:val="24"/>
          <w:szCs w:val="24"/>
        </w:rPr>
        <w:t>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F2" w:rsidRDefault="00EA4FF2">
      <w:r>
        <w:separator/>
      </w:r>
    </w:p>
  </w:endnote>
  <w:endnote w:type="continuationSeparator" w:id="0">
    <w:p w:rsidR="00EA4FF2" w:rsidRDefault="00EA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F2" w:rsidRDefault="00EA4FF2">
      <w:r>
        <w:separator/>
      </w:r>
    </w:p>
  </w:footnote>
  <w:footnote w:type="continuationSeparator" w:id="0">
    <w:p w:rsidR="00EA4FF2" w:rsidRDefault="00EA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3259d581394d7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8A7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7DAC"/>
    <w:rsid w:val="008E3E3A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D152D7"/>
    <w:rsid w:val="00D26CB3"/>
    <w:rsid w:val="00E903B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f2e0d9-7bbb-4474-bf54-e9c6c3c9b9fb.png" Id="Rb589cf02dfb64f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f2e0d9-7bbb-4474-bf54-e9c6c3c9b9fb.png" Id="R543259d581394d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2016-01-21T11:44:00Z</dcterms:created>
  <dcterms:modified xsi:type="dcterms:W3CDTF">2016-01-21T11:52:00Z</dcterms:modified>
</cp:coreProperties>
</file>