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40096">
        <w:rPr>
          <w:rFonts w:ascii="Arial" w:hAnsi="Arial" w:cs="Arial"/>
          <w:sz w:val="24"/>
          <w:szCs w:val="24"/>
        </w:rPr>
        <w:t>d</w:t>
      </w:r>
      <w:r w:rsidR="00D40096" w:rsidRPr="00D40096">
        <w:rPr>
          <w:rFonts w:ascii="Arial" w:hAnsi="Arial" w:cs="Arial"/>
          <w:sz w:val="24"/>
          <w:szCs w:val="24"/>
        </w:rPr>
        <w:t>isponibiliza</w:t>
      </w:r>
      <w:r w:rsidR="00D40096">
        <w:rPr>
          <w:rFonts w:ascii="Arial" w:hAnsi="Arial" w:cs="Arial"/>
          <w:sz w:val="24"/>
          <w:szCs w:val="24"/>
        </w:rPr>
        <w:t>r</w:t>
      </w:r>
      <w:r w:rsidR="00D40096" w:rsidRPr="00D40096">
        <w:rPr>
          <w:rFonts w:ascii="Arial" w:hAnsi="Arial" w:cs="Arial"/>
          <w:sz w:val="24"/>
          <w:szCs w:val="24"/>
        </w:rPr>
        <w:t xml:space="preserve"> tenda para uso em funerais no </w:t>
      </w:r>
      <w:r w:rsidR="00D40096">
        <w:rPr>
          <w:rFonts w:ascii="Arial" w:hAnsi="Arial" w:cs="Arial"/>
          <w:sz w:val="24"/>
          <w:szCs w:val="24"/>
        </w:rPr>
        <w:t>C</w:t>
      </w:r>
      <w:r w:rsidR="00D40096" w:rsidRPr="00D40096">
        <w:rPr>
          <w:rFonts w:ascii="Arial" w:hAnsi="Arial" w:cs="Arial"/>
          <w:sz w:val="24"/>
          <w:szCs w:val="24"/>
        </w:rPr>
        <w:t xml:space="preserve">emitério </w:t>
      </w:r>
      <w:r w:rsidR="00D40096">
        <w:rPr>
          <w:rFonts w:ascii="Arial" w:hAnsi="Arial" w:cs="Arial"/>
          <w:sz w:val="24"/>
          <w:szCs w:val="24"/>
        </w:rPr>
        <w:t>C</w:t>
      </w:r>
      <w:r w:rsidR="00D40096" w:rsidRPr="00D40096">
        <w:rPr>
          <w:rFonts w:ascii="Arial" w:hAnsi="Arial" w:cs="Arial"/>
          <w:sz w:val="24"/>
          <w:szCs w:val="24"/>
        </w:rPr>
        <w:t>abreúva</w:t>
      </w:r>
      <w:r w:rsidRPr="00F75516">
        <w:rPr>
          <w:rFonts w:ascii="Arial" w:hAnsi="Arial" w:cs="Arial"/>
          <w:sz w:val="24"/>
          <w:szCs w:val="24"/>
        </w:rPr>
        <w:t xml:space="preserve">, no bairro </w:t>
      </w:r>
      <w:r w:rsidR="00D40096">
        <w:rPr>
          <w:rFonts w:ascii="Arial" w:hAnsi="Arial" w:cs="Arial"/>
          <w:sz w:val="24"/>
          <w:szCs w:val="24"/>
        </w:rPr>
        <w:t>Vila Grego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D40096">
        <w:rPr>
          <w:rFonts w:ascii="Arial" w:hAnsi="Arial" w:cs="Arial"/>
          <w:sz w:val="24"/>
          <w:szCs w:val="24"/>
        </w:rPr>
        <w:t>d</w:t>
      </w:r>
      <w:r w:rsidR="00D40096" w:rsidRPr="00D40096">
        <w:rPr>
          <w:rFonts w:ascii="Arial" w:hAnsi="Arial" w:cs="Arial"/>
          <w:sz w:val="24"/>
          <w:szCs w:val="24"/>
        </w:rPr>
        <w:t>isponibiliza</w:t>
      </w:r>
      <w:r w:rsidR="00D40096">
        <w:rPr>
          <w:rFonts w:ascii="Arial" w:hAnsi="Arial" w:cs="Arial"/>
          <w:sz w:val="24"/>
          <w:szCs w:val="24"/>
        </w:rPr>
        <w:t>da uma</w:t>
      </w:r>
      <w:r w:rsidR="00D40096" w:rsidRPr="00D40096">
        <w:rPr>
          <w:rFonts w:ascii="Arial" w:hAnsi="Arial" w:cs="Arial"/>
          <w:sz w:val="24"/>
          <w:szCs w:val="24"/>
        </w:rPr>
        <w:t xml:space="preserve"> tenda para uso </w:t>
      </w:r>
      <w:r w:rsidR="00D40096">
        <w:rPr>
          <w:rFonts w:ascii="Arial" w:hAnsi="Arial" w:cs="Arial"/>
          <w:sz w:val="24"/>
          <w:szCs w:val="24"/>
        </w:rPr>
        <w:t xml:space="preserve">dos servidores municipais </w:t>
      </w:r>
      <w:r w:rsidR="00D40096" w:rsidRPr="00D40096">
        <w:rPr>
          <w:rFonts w:ascii="Arial" w:hAnsi="Arial" w:cs="Arial"/>
          <w:sz w:val="24"/>
          <w:szCs w:val="24"/>
        </w:rPr>
        <w:t xml:space="preserve">em funerais </w:t>
      </w:r>
      <w:r w:rsidR="00D40096">
        <w:rPr>
          <w:rFonts w:ascii="Arial" w:hAnsi="Arial" w:cs="Arial"/>
          <w:sz w:val="24"/>
          <w:szCs w:val="24"/>
        </w:rPr>
        <w:t xml:space="preserve">realizados </w:t>
      </w:r>
      <w:r w:rsidR="00D40096" w:rsidRPr="00D40096">
        <w:rPr>
          <w:rFonts w:ascii="Arial" w:hAnsi="Arial" w:cs="Arial"/>
          <w:sz w:val="24"/>
          <w:szCs w:val="24"/>
        </w:rPr>
        <w:t xml:space="preserve">no </w:t>
      </w:r>
      <w:r w:rsidR="00D40096">
        <w:rPr>
          <w:rFonts w:ascii="Arial" w:hAnsi="Arial" w:cs="Arial"/>
          <w:sz w:val="24"/>
          <w:szCs w:val="24"/>
        </w:rPr>
        <w:t>C</w:t>
      </w:r>
      <w:r w:rsidR="00D40096" w:rsidRPr="00D40096">
        <w:rPr>
          <w:rFonts w:ascii="Arial" w:hAnsi="Arial" w:cs="Arial"/>
          <w:sz w:val="24"/>
          <w:szCs w:val="24"/>
        </w:rPr>
        <w:t xml:space="preserve">emitério </w:t>
      </w:r>
      <w:r w:rsidR="00D40096">
        <w:rPr>
          <w:rFonts w:ascii="Arial" w:hAnsi="Arial" w:cs="Arial"/>
          <w:sz w:val="24"/>
          <w:szCs w:val="24"/>
        </w:rPr>
        <w:t>C</w:t>
      </w:r>
      <w:r w:rsidR="00D40096" w:rsidRPr="00D40096">
        <w:rPr>
          <w:rFonts w:ascii="Arial" w:hAnsi="Arial" w:cs="Arial"/>
          <w:sz w:val="24"/>
          <w:szCs w:val="24"/>
        </w:rPr>
        <w:t>abreúva</w:t>
      </w:r>
      <w:r w:rsidR="00D40096" w:rsidRPr="00F75516">
        <w:rPr>
          <w:rFonts w:ascii="Arial" w:hAnsi="Arial" w:cs="Arial"/>
          <w:sz w:val="24"/>
          <w:szCs w:val="24"/>
        </w:rPr>
        <w:t xml:space="preserve">, no bairro </w:t>
      </w:r>
      <w:r w:rsidR="00D40096">
        <w:rPr>
          <w:rFonts w:ascii="Arial" w:hAnsi="Arial" w:cs="Arial"/>
          <w:sz w:val="24"/>
          <w:szCs w:val="24"/>
        </w:rPr>
        <w:t>Vila Grego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D40096">
        <w:rPr>
          <w:rFonts w:ascii="Arial" w:hAnsi="Arial" w:cs="Arial"/>
        </w:rPr>
        <w:t>as condições de trabalho dos servidores municipais que atuam no Cemitério Cabreúva e que enfrentam chuva e sol para realizar tarefas como a abertura de covas para funerais. A falta de cobertura prejudica o bom andamento dos serviços e sua colocação seria uma maneira de valorizar e dar melhores condições de trabalho ao funcionalismo municipal.</w:t>
      </w:r>
      <w:r w:rsidRPr="00F75516">
        <w:rPr>
          <w:rFonts w:ascii="Arial" w:hAnsi="Arial" w:cs="Arial"/>
        </w:rPr>
        <w:t xml:space="preserve"> </w:t>
      </w:r>
      <w:proofErr w:type="gramStart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D4009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40096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D40096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D400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D40096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44A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E44A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d8293930294b95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7E44A9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D4009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e08bf0b-34ca-4b1e-a50c-c514bd9a2983.png" Id="R7927bb08d32e48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e08bf0b-34ca-4b1e-a50c-c514bd9a2983.png" Id="R6ed8293930294b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11</cp:revision>
  <cp:lastPrinted>2015-01-29T12:52:00Z</cp:lastPrinted>
  <dcterms:created xsi:type="dcterms:W3CDTF">2014-01-14T16:57:00Z</dcterms:created>
  <dcterms:modified xsi:type="dcterms:W3CDTF">2015-01-29T12:52:00Z</dcterms:modified>
</cp:coreProperties>
</file>