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BF" w:rsidRPr="00820ABF" w:rsidRDefault="00820ABF" w:rsidP="006F3FC8">
      <w:pPr>
        <w:pStyle w:val="Ttulo"/>
        <w:rPr>
          <w:szCs w:val="24"/>
        </w:rPr>
      </w:pPr>
      <w:bookmarkStart w:id="0" w:name="_GoBack"/>
      <w:bookmarkEnd w:id="0"/>
      <w:r w:rsidRPr="00820ABF">
        <w:rPr>
          <w:szCs w:val="24"/>
        </w:rPr>
        <w:t>REQUERIMENTO Nº. 174/10</w:t>
      </w:r>
    </w:p>
    <w:p w:rsidR="00820ABF" w:rsidRPr="00820ABF" w:rsidRDefault="00820ABF" w:rsidP="006F3F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20ABF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20ABF" w:rsidRPr="00820ABF" w:rsidRDefault="00820ABF" w:rsidP="006F3FC8">
      <w:pPr>
        <w:pStyle w:val="Recuodecorpodetexto"/>
        <w:ind w:left="4253"/>
        <w:rPr>
          <w:szCs w:val="24"/>
        </w:rPr>
      </w:pPr>
    </w:p>
    <w:p w:rsidR="00820ABF" w:rsidRPr="00820ABF" w:rsidRDefault="00820ABF" w:rsidP="006F3FC8">
      <w:pPr>
        <w:pStyle w:val="Recuodecorpodetexto"/>
        <w:ind w:left="4253"/>
        <w:rPr>
          <w:szCs w:val="24"/>
        </w:rPr>
      </w:pPr>
      <w:r w:rsidRPr="00820ABF">
        <w:rPr>
          <w:szCs w:val="24"/>
        </w:rPr>
        <w:t xml:space="preserve">“Referente à orientação quanto ao uso das seringas e agulhas e aplicação de insulina em crianças e adultos diabéticos do município”. 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                 </w:t>
      </w:r>
      <w:r w:rsidRPr="00820ABF">
        <w:rPr>
          <w:rFonts w:ascii="Bookman Old Style" w:hAnsi="Bookman Old Style"/>
          <w:sz w:val="24"/>
          <w:szCs w:val="24"/>
        </w:rPr>
        <w:tab/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b/>
          <w:sz w:val="24"/>
          <w:szCs w:val="24"/>
        </w:rPr>
        <w:tab/>
      </w:r>
      <w:r w:rsidRPr="00820ABF">
        <w:rPr>
          <w:rFonts w:ascii="Bookman Old Style" w:hAnsi="Bookman Old Style"/>
          <w:b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>Munícipes e pais de crianças portadores de diabetes de Santa Bárbara d’Oeste procuraram este vereador cobrando informações sobre a falta de orientação quanto a aplicação da insulina, se o mesmo pode ou não ser reutilizado.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  <w:t>De acordo com os mesmos a orientação está sendo para reutilizar as seringas e agulhas em mais de uma aplicação, sendo que o correto é apenas utilizar uma vez a seringa e a agulha, conforme reportagem anexada no requerimento e seus riscos da reutilização, sendo descartadas após seu uso.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</w:t>
      </w: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</w:t>
      </w: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b/>
          <w:bCs/>
          <w:sz w:val="24"/>
          <w:szCs w:val="24"/>
        </w:rPr>
        <w:t>REQUEIRO</w:t>
      </w:r>
      <w:r w:rsidRPr="00820ABF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  <w:t xml:space="preserve"> 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  <w:t>1 – O setor competente tem informação se esse tipo de orientação não está sendo divulgado aos usuários?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  <w:t>2 – Se positivo, esclarecer porque não está sendo passada essa orientação?</w:t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</w:t>
      </w: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</w:r>
    </w:p>
    <w:p w:rsidR="00820ABF" w:rsidRPr="00820ABF" w:rsidRDefault="00820ABF" w:rsidP="006F3F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</w:t>
      </w:r>
      <w:r w:rsidRPr="00820ABF">
        <w:rPr>
          <w:rFonts w:ascii="Bookman Old Style" w:hAnsi="Bookman Old Style"/>
          <w:sz w:val="24"/>
          <w:szCs w:val="24"/>
        </w:rPr>
        <w:tab/>
      </w:r>
      <w:r w:rsidRPr="00820ABF">
        <w:rPr>
          <w:rFonts w:ascii="Bookman Old Style" w:hAnsi="Bookman Old Style"/>
          <w:sz w:val="24"/>
          <w:szCs w:val="24"/>
        </w:rPr>
        <w:tab/>
        <w:t>3 – O setor competente tem conhecimento dessa reportagem anexada no requerimento e qual o posicionamento da Secretaria a respeito do assunto?</w:t>
      </w:r>
    </w:p>
    <w:p w:rsidR="00820ABF" w:rsidRPr="00820ABF" w:rsidRDefault="00820ABF" w:rsidP="006F3FC8">
      <w:pPr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20ABF" w:rsidRPr="00820ABF" w:rsidRDefault="00820ABF" w:rsidP="006F3FC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 xml:space="preserve">         </w:t>
      </w:r>
    </w:p>
    <w:p w:rsidR="00820ABF" w:rsidRPr="00820ABF" w:rsidRDefault="00820ABF" w:rsidP="006F3FC8">
      <w:pPr>
        <w:ind w:firstLine="1418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>Plenário “Dr. Tancredo Neves”, em 18 de março de 2010.</w:t>
      </w:r>
    </w:p>
    <w:p w:rsidR="00820ABF" w:rsidRPr="00820ABF" w:rsidRDefault="00820ABF" w:rsidP="006F3FC8">
      <w:pPr>
        <w:rPr>
          <w:rFonts w:ascii="Bookman Old Style" w:hAnsi="Bookman Old Style"/>
          <w:sz w:val="24"/>
          <w:szCs w:val="24"/>
        </w:rPr>
      </w:pPr>
    </w:p>
    <w:p w:rsidR="00820ABF" w:rsidRPr="00820ABF" w:rsidRDefault="00820ABF" w:rsidP="006F3F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20ABF" w:rsidRPr="00820ABF" w:rsidRDefault="00820ABF" w:rsidP="006F3FC8">
      <w:pPr>
        <w:jc w:val="center"/>
        <w:rPr>
          <w:rFonts w:ascii="Bodoni MT Black" w:hAnsi="Bodoni MT Black"/>
          <w:b/>
          <w:sz w:val="24"/>
          <w:szCs w:val="24"/>
          <w:lang w:val="es-ES_tradnl"/>
        </w:rPr>
      </w:pPr>
      <w:r w:rsidRPr="00820ABF">
        <w:rPr>
          <w:rFonts w:ascii="Bodoni MT Black" w:hAnsi="Bodoni MT Black"/>
          <w:b/>
          <w:sz w:val="24"/>
          <w:szCs w:val="24"/>
          <w:lang w:val="es-ES_tradnl"/>
        </w:rPr>
        <w:t>FABIANO W. RUIZ MARTINEZ</w:t>
      </w:r>
    </w:p>
    <w:p w:rsidR="00820ABF" w:rsidRPr="00820ABF" w:rsidRDefault="00820ABF" w:rsidP="006F3FC8">
      <w:pPr>
        <w:jc w:val="center"/>
        <w:rPr>
          <w:rFonts w:ascii="Bodoni MT Black" w:hAnsi="Bodoni MT Black"/>
          <w:b/>
          <w:sz w:val="24"/>
          <w:szCs w:val="24"/>
          <w:lang w:val="es-ES_tradnl"/>
        </w:rPr>
      </w:pPr>
      <w:r w:rsidRPr="00820ABF">
        <w:rPr>
          <w:rFonts w:ascii="Bodoni MT Black" w:hAnsi="Bodoni MT Black"/>
          <w:b/>
          <w:sz w:val="24"/>
          <w:szCs w:val="24"/>
          <w:lang w:val="es-ES_tradnl"/>
        </w:rPr>
        <w:t>“PINGUIM”</w:t>
      </w:r>
    </w:p>
    <w:p w:rsidR="00820ABF" w:rsidRPr="00820ABF" w:rsidRDefault="00820ABF" w:rsidP="006F3FC8">
      <w:pPr>
        <w:jc w:val="center"/>
        <w:rPr>
          <w:rFonts w:ascii="Bookman Old Style" w:hAnsi="Bookman Old Style"/>
          <w:sz w:val="24"/>
          <w:szCs w:val="24"/>
        </w:rPr>
      </w:pPr>
      <w:r w:rsidRPr="00820ABF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820ABF" w:rsidRDefault="009F196D" w:rsidP="00CD613B">
      <w:pPr>
        <w:rPr>
          <w:sz w:val="24"/>
          <w:szCs w:val="24"/>
        </w:rPr>
      </w:pPr>
    </w:p>
    <w:sectPr w:rsidR="009F196D" w:rsidRPr="00820AB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C8" w:rsidRDefault="006F3FC8">
      <w:r>
        <w:separator/>
      </w:r>
    </w:p>
  </w:endnote>
  <w:endnote w:type="continuationSeparator" w:id="0">
    <w:p w:rsidR="006F3FC8" w:rsidRDefault="006F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C8" w:rsidRDefault="006F3FC8">
      <w:r>
        <w:separator/>
      </w:r>
    </w:p>
  </w:footnote>
  <w:footnote w:type="continuationSeparator" w:id="0">
    <w:p w:rsidR="006F3FC8" w:rsidRDefault="006F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5867"/>
    <w:rsid w:val="006F3FC8"/>
    <w:rsid w:val="00820AB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0AB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20AB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