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9F7A42">
        <w:rPr>
          <w:rFonts w:ascii="Arial" w:hAnsi="Arial" w:cs="Arial"/>
        </w:rPr>
        <w:t>1577</w:t>
      </w:r>
      <w:r w:rsidRPr="009F0765">
        <w:rPr>
          <w:rFonts w:ascii="Arial" w:hAnsi="Arial" w:cs="Arial"/>
        </w:rPr>
        <w:t>/</w:t>
      </w:r>
      <w:r w:rsidR="009F7A42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122E" w:rsidRDefault="00A324A6" w:rsidP="00121E9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F22881">
        <w:rPr>
          <w:rFonts w:ascii="Arial" w:hAnsi="Arial" w:cs="Arial"/>
          <w:sz w:val="24"/>
          <w:szCs w:val="24"/>
        </w:rPr>
        <w:t xml:space="preserve"> instalação de semáforo no cruzamento em frente ao Condomínio Terras de São Pedro, na Avenida Mogi Guaçu, 700, no Jardim das Laranjeiras e pintura de faixa de pedestres.</w:t>
      </w: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F22881">
        <w:rPr>
          <w:rFonts w:ascii="Arial" w:hAnsi="Arial" w:cs="Arial"/>
          <w:bCs/>
          <w:sz w:val="24"/>
          <w:szCs w:val="24"/>
        </w:rPr>
        <w:t>seja instalado um semáforo no cruzamento em frente ao Condomínio Terras de São Pedro, na Avenida Mogi Guaçu, 700, no Jardim das Laranjeiras, bem como pintura de faixas de pedestres.</w:t>
      </w:r>
    </w:p>
    <w:p w:rsidR="009947EB" w:rsidRDefault="009947EB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121E98" w:rsidRDefault="00A324A6" w:rsidP="00A324A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C57A36">
        <w:rPr>
          <w:rFonts w:ascii="Arial" w:hAnsi="Arial" w:cs="Arial"/>
          <w:sz w:val="24"/>
          <w:szCs w:val="24"/>
        </w:rPr>
        <w:t>Mo</w:t>
      </w:r>
      <w:r w:rsidR="00F22881">
        <w:rPr>
          <w:rFonts w:ascii="Arial" w:hAnsi="Arial" w:cs="Arial"/>
          <w:sz w:val="24"/>
          <w:szCs w:val="24"/>
        </w:rPr>
        <w:t>radores da região reivindicam providências da Administração Municipal quanto à segurança no trânsito, que é muito movimentado na via pública, com registros de constantes acidentes. Eles pedem a instalação de um semáforo que iria disciplinar o trânsito, bem como a pintura de faixas de pedestres para que as pessoas possam atravessar a avenida com mais segurança.</w:t>
      </w:r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4A4792" w:rsidRDefault="00A324A6" w:rsidP="004A479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2881">
        <w:rPr>
          <w:rFonts w:ascii="Arial" w:hAnsi="Arial" w:cs="Arial"/>
          <w:sz w:val="24"/>
          <w:szCs w:val="24"/>
        </w:rPr>
        <w:t>14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CC4597">
        <w:rPr>
          <w:rFonts w:ascii="Arial" w:hAnsi="Arial" w:cs="Arial"/>
          <w:sz w:val="24"/>
          <w:szCs w:val="24"/>
        </w:rPr>
        <w:t>abril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7A4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137" cy="3022979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37" cy="3022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1E98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B7E68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A4792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38EE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947EB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9F7A42"/>
    <w:rsid w:val="00A324A6"/>
    <w:rsid w:val="00A3324A"/>
    <w:rsid w:val="00A35AE9"/>
    <w:rsid w:val="00A4259F"/>
    <w:rsid w:val="00A4279E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4597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881"/>
    <w:rsid w:val="00F22F8A"/>
    <w:rsid w:val="00F30E6B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2A75-F17D-45C9-BD79-670482F1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2014-04-01T16:21:00Z</cp:lastPrinted>
  <dcterms:created xsi:type="dcterms:W3CDTF">2014-04-14T18:35:00Z</dcterms:created>
  <dcterms:modified xsi:type="dcterms:W3CDTF">2014-04-16T18:01:00Z</dcterms:modified>
</cp:coreProperties>
</file>