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F4" w:rsidRPr="00692599" w:rsidRDefault="00F615F4" w:rsidP="00F615F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615F4" w:rsidRPr="00692599" w:rsidRDefault="00F615F4" w:rsidP="00F615F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615F4" w:rsidRPr="00692599" w:rsidRDefault="00F615F4" w:rsidP="00F615F4">
      <w:pPr>
        <w:jc w:val="center"/>
        <w:rPr>
          <w:rFonts w:ascii="Bookman Old Style" w:hAnsi="Bookman Old Style"/>
        </w:rPr>
      </w:pPr>
    </w:p>
    <w:p w:rsidR="00F615F4" w:rsidRPr="00692599" w:rsidRDefault="00F615F4" w:rsidP="00F615F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615F4" w:rsidRPr="00692599" w:rsidRDefault="00F615F4" w:rsidP="00F615F4">
      <w:pPr>
        <w:jc w:val="center"/>
        <w:rPr>
          <w:rFonts w:ascii="Bookman Old Style" w:hAnsi="Bookman Old Style"/>
          <w:b/>
        </w:rPr>
      </w:pPr>
    </w:p>
    <w:p w:rsidR="00F615F4" w:rsidRDefault="00F615F4" w:rsidP="00F615F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615F4" w:rsidRPr="00FD58C6" w:rsidRDefault="00F615F4" w:rsidP="00F615F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F615F4" w:rsidRDefault="00F615F4" w:rsidP="00F615F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615F4" w:rsidRPr="00EA4964" w:rsidRDefault="00F615F4" w:rsidP="00F615F4">
      <w:pPr>
        <w:ind w:hanging="1080"/>
      </w:pPr>
      <w:r>
        <w:t xml:space="preserve"> </w:t>
      </w:r>
    </w:p>
    <w:p w:rsidR="00F615F4" w:rsidRPr="00DE1AE0" w:rsidRDefault="00F615F4" w:rsidP="00F615F4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   388    /2011.</w:t>
      </w:r>
    </w:p>
    <w:p w:rsidR="00F615F4" w:rsidRPr="00DE1AE0" w:rsidRDefault="00F615F4" w:rsidP="00F615F4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F615F4" w:rsidRPr="00DE1AE0" w:rsidRDefault="00F615F4" w:rsidP="00F615F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615F4" w:rsidRDefault="00F615F4" w:rsidP="00F615F4">
      <w:pPr>
        <w:pStyle w:val="Recuodecorpodetexto"/>
      </w:pPr>
      <w:r>
        <w:t xml:space="preserve">“Voto de Pesar pelo passamento do </w:t>
      </w:r>
      <w:r>
        <w:rPr>
          <w:b/>
        </w:rPr>
        <w:t>Senhor José Denésio de Godoy</w:t>
      </w:r>
      <w:r>
        <w:t>, ocorrido recentemente”</w:t>
      </w:r>
      <w:r w:rsidRPr="00DE1AE0">
        <w:t>.</w:t>
      </w:r>
    </w:p>
    <w:p w:rsidR="00F615F4" w:rsidRPr="00DE1AE0" w:rsidRDefault="00F615F4" w:rsidP="00F615F4">
      <w:pPr>
        <w:pStyle w:val="Recuodecorpodetexto"/>
      </w:pPr>
    </w:p>
    <w:p w:rsidR="00F615F4" w:rsidRPr="00DE1AE0" w:rsidRDefault="00F615F4" w:rsidP="00F615F4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F615F4" w:rsidRPr="00DE1AE0" w:rsidRDefault="00F615F4" w:rsidP="00F615F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615F4" w:rsidRDefault="00F615F4" w:rsidP="00F615F4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Senhor José Denésio de Godoy</w:t>
      </w:r>
      <w:r>
        <w:t>, ocorrido no dia 26 de maio de 2011.</w:t>
      </w:r>
    </w:p>
    <w:p w:rsidR="00F615F4" w:rsidRDefault="00F615F4" w:rsidP="00F615F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F615F4" w:rsidRDefault="00F615F4" w:rsidP="00F615F4">
      <w:pPr>
        <w:pStyle w:val="Recuodecorpodetexto"/>
        <w:ind w:left="0" w:firstLine="1440"/>
      </w:pPr>
      <w:r>
        <w:t xml:space="preserve">O </w:t>
      </w:r>
      <w:r>
        <w:rPr>
          <w:b/>
        </w:rPr>
        <w:t>Senhor José Denésio de Godoy</w:t>
      </w:r>
      <w:r>
        <w:t xml:space="preserve"> contava com 66 (sessenta e seis) anos de idade, era casado com a senhora Marlene Aparecida Lourenço de Godoy, deixando os filhos: Helton, Raquel e Renata. Residia à rua Olavo Fagin, 145 – Santa Luzia.</w:t>
      </w:r>
    </w:p>
    <w:p w:rsidR="00F615F4" w:rsidRDefault="00F615F4" w:rsidP="00F615F4">
      <w:pPr>
        <w:pStyle w:val="Recuodecorpodetexto"/>
        <w:ind w:left="0" w:firstLine="1440"/>
      </w:pPr>
    </w:p>
    <w:p w:rsidR="00F615F4" w:rsidRDefault="00F615F4" w:rsidP="00F615F4">
      <w:pPr>
        <w:pStyle w:val="Recuodecorpodetexto"/>
        <w:ind w:left="0" w:firstLine="1440"/>
      </w:pPr>
      <w:r>
        <w:t xml:space="preserve">O </w:t>
      </w:r>
      <w:r w:rsidRPr="00556073">
        <w:rPr>
          <w:b/>
        </w:rPr>
        <w:t>Tatú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F615F4" w:rsidRDefault="00F615F4" w:rsidP="00F615F4">
      <w:pPr>
        <w:pStyle w:val="Recuodecorpodetexto"/>
        <w:ind w:left="0" w:firstLine="1440"/>
      </w:pPr>
    </w:p>
    <w:p w:rsidR="00F615F4" w:rsidRDefault="00F615F4" w:rsidP="00F615F4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F615F4" w:rsidRDefault="00F615F4" w:rsidP="00F615F4">
      <w:pPr>
        <w:pStyle w:val="Recuodecorpodetexto"/>
      </w:pPr>
    </w:p>
    <w:p w:rsidR="00F615F4" w:rsidRDefault="00F615F4" w:rsidP="00F615F4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F615F4" w:rsidRDefault="00F615F4" w:rsidP="00F615F4">
      <w:pPr>
        <w:pStyle w:val="Recuodecorpodetexto"/>
        <w:ind w:left="0" w:firstLine="1440"/>
      </w:pPr>
    </w:p>
    <w:p w:rsidR="00F615F4" w:rsidRDefault="00F615F4" w:rsidP="00F615F4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F615F4" w:rsidRDefault="00F615F4" w:rsidP="00F615F4">
      <w:pPr>
        <w:pStyle w:val="Recuodecorpodetexto2"/>
        <w:ind w:firstLine="0"/>
        <w:rPr>
          <w:szCs w:val="24"/>
        </w:rPr>
      </w:pPr>
    </w:p>
    <w:p w:rsidR="00F615F4" w:rsidRPr="00CF47B9" w:rsidRDefault="00F615F4" w:rsidP="00F615F4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03</w:t>
      </w:r>
      <w:r w:rsidRPr="00CF47B9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</w:t>
      </w:r>
      <w:r w:rsidRPr="00CF47B9">
        <w:rPr>
          <w:rFonts w:ascii="Bookman Old Style" w:hAnsi="Bookman Old Style"/>
        </w:rPr>
        <w:t xml:space="preserve"> de 2011.</w:t>
      </w:r>
    </w:p>
    <w:p w:rsidR="00F615F4" w:rsidRPr="00CF47B9" w:rsidRDefault="00F615F4" w:rsidP="00F615F4">
      <w:pPr>
        <w:jc w:val="center"/>
        <w:rPr>
          <w:rFonts w:ascii="Bookman Old Style" w:hAnsi="Bookman Old Style"/>
          <w:b/>
          <w:szCs w:val="28"/>
        </w:rPr>
      </w:pPr>
    </w:p>
    <w:p w:rsidR="00F615F4" w:rsidRDefault="00F615F4" w:rsidP="00F615F4">
      <w:pPr>
        <w:pStyle w:val="Ttulo1"/>
      </w:pPr>
    </w:p>
    <w:p w:rsidR="00F615F4" w:rsidRPr="00DE1AE0" w:rsidRDefault="00F615F4" w:rsidP="00F615F4">
      <w:pPr>
        <w:pStyle w:val="Ttulo1"/>
      </w:pPr>
      <w:r>
        <w:t>CARLOS FONTES</w:t>
      </w:r>
    </w:p>
    <w:p w:rsidR="00F615F4" w:rsidRPr="00DE1AE0" w:rsidRDefault="00F615F4" w:rsidP="00F615F4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F615F4" w:rsidRDefault="00F615F4" w:rsidP="00F615F4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95" w:rsidRDefault="00755395">
      <w:r>
        <w:separator/>
      </w:r>
    </w:p>
  </w:endnote>
  <w:endnote w:type="continuationSeparator" w:id="0">
    <w:p w:rsidR="00755395" w:rsidRDefault="0075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95" w:rsidRDefault="00755395">
      <w:r>
        <w:separator/>
      </w:r>
    </w:p>
  </w:footnote>
  <w:footnote w:type="continuationSeparator" w:id="0">
    <w:p w:rsidR="00755395" w:rsidRDefault="00755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55395"/>
    <w:rsid w:val="009F196D"/>
    <w:rsid w:val="00A9035B"/>
    <w:rsid w:val="00B02797"/>
    <w:rsid w:val="00CD613B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615F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615F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615F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615F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615F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