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66E" w:rsidRPr="00C2366E" w:rsidRDefault="00C2366E" w:rsidP="00C2366E">
      <w:pPr>
        <w:ind w:right="-389"/>
        <w:jc w:val="center"/>
        <w:rPr>
          <w:rFonts w:ascii="Arial" w:hAnsi="Arial" w:cs="Arial"/>
          <w:b/>
          <w:bCs/>
          <w:sz w:val="22"/>
          <w:szCs w:val="22"/>
          <w:u w:val="single"/>
        </w:rPr>
      </w:pPr>
      <w:bookmarkStart w:id="0" w:name="_GoBack"/>
      <w:bookmarkEnd w:id="0"/>
      <w:r w:rsidRPr="00C2366E">
        <w:rPr>
          <w:rFonts w:ascii="Arial" w:hAnsi="Arial" w:cs="Arial"/>
          <w:b/>
          <w:bCs/>
          <w:sz w:val="22"/>
          <w:szCs w:val="22"/>
          <w:u w:val="single"/>
        </w:rPr>
        <w:t>PROJETO DE LEI COMPLEMENTAR MUNICIPAL Nº 15/2011</w:t>
      </w:r>
    </w:p>
    <w:p w:rsidR="00C2366E" w:rsidRPr="00C2366E" w:rsidRDefault="00C2366E" w:rsidP="00C2366E">
      <w:pPr>
        <w:pStyle w:val="Ttulo"/>
        <w:ind w:right="-389"/>
        <w:jc w:val="left"/>
        <w:rPr>
          <w:rFonts w:ascii="Arial" w:hAnsi="Arial" w:cs="Arial"/>
          <w:sz w:val="22"/>
          <w:szCs w:val="22"/>
        </w:rPr>
      </w:pPr>
    </w:p>
    <w:p w:rsidR="00C2366E" w:rsidRPr="00C2366E" w:rsidRDefault="00C2366E" w:rsidP="00C2366E">
      <w:pPr>
        <w:ind w:left="5040"/>
        <w:jc w:val="both"/>
        <w:rPr>
          <w:rFonts w:ascii="Arial" w:hAnsi="Arial" w:cs="Arial"/>
          <w:b/>
          <w:sz w:val="22"/>
          <w:szCs w:val="22"/>
        </w:rPr>
      </w:pPr>
      <w:r w:rsidRPr="00C2366E">
        <w:rPr>
          <w:rFonts w:ascii="Arial" w:hAnsi="Arial" w:cs="Arial"/>
          <w:sz w:val="22"/>
          <w:szCs w:val="22"/>
        </w:rPr>
        <w:t xml:space="preserve"> “Altera os Anexos I, II e VI da Lei Complementar Municipal nº 66 de 23 de dezembro de 2009, conforme especifica”</w:t>
      </w:r>
      <w:r w:rsidRPr="00C2366E">
        <w:rPr>
          <w:rFonts w:ascii="Arial" w:hAnsi="Arial" w:cs="Arial"/>
          <w:b/>
          <w:sz w:val="22"/>
          <w:szCs w:val="22"/>
        </w:rPr>
        <w:t>.</w:t>
      </w:r>
    </w:p>
    <w:p w:rsidR="00C2366E" w:rsidRPr="00C2366E" w:rsidRDefault="00C2366E" w:rsidP="00C2366E">
      <w:pPr>
        <w:ind w:left="5040"/>
        <w:jc w:val="both"/>
        <w:rPr>
          <w:rFonts w:ascii="Arial" w:hAnsi="Arial" w:cs="Arial"/>
          <w:b/>
          <w:sz w:val="22"/>
          <w:szCs w:val="22"/>
        </w:rPr>
      </w:pPr>
    </w:p>
    <w:p w:rsidR="00C2366E" w:rsidRPr="00C2366E" w:rsidRDefault="00C2366E" w:rsidP="00C2366E">
      <w:pPr>
        <w:keepLines/>
        <w:tabs>
          <w:tab w:val="left" w:pos="1134"/>
        </w:tabs>
        <w:autoSpaceDE w:val="0"/>
        <w:autoSpaceDN w:val="0"/>
        <w:adjustRightInd w:val="0"/>
        <w:ind w:firstLine="1080"/>
        <w:jc w:val="both"/>
        <w:rPr>
          <w:rFonts w:ascii="Arial" w:hAnsi="Arial" w:cs="Arial"/>
          <w:sz w:val="22"/>
          <w:szCs w:val="22"/>
        </w:rPr>
      </w:pPr>
      <w:r w:rsidRPr="00C2366E">
        <w:rPr>
          <w:rFonts w:ascii="Arial" w:hAnsi="Arial" w:cs="Arial"/>
          <w:b/>
          <w:color w:val="000000"/>
          <w:sz w:val="22"/>
          <w:szCs w:val="22"/>
        </w:rPr>
        <w:t>MÁRIO CELSO HEINS</w:t>
      </w:r>
      <w:r w:rsidRPr="00C2366E">
        <w:rPr>
          <w:rFonts w:ascii="Arial" w:hAnsi="Arial" w:cs="Arial"/>
          <w:color w:val="000000"/>
          <w:sz w:val="22"/>
          <w:szCs w:val="22"/>
        </w:rPr>
        <w:t>, Prefeito do Município de Santa Bárbara d’Oeste, Estado de São Paulo,</w:t>
      </w:r>
      <w:r w:rsidRPr="00C2366E">
        <w:rPr>
          <w:rFonts w:ascii="Arial" w:hAnsi="Arial" w:cs="Arial"/>
          <w:sz w:val="22"/>
          <w:szCs w:val="22"/>
        </w:rPr>
        <w:t xml:space="preserve"> usando das atribuições que lhe são conferidas por Lei, faz saber que a Câmara Municipal aprovou e ele sanciona e promulga a seguinte Lei Complementar:</w:t>
      </w:r>
    </w:p>
    <w:p w:rsidR="00C2366E" w:rsidRPr="00C2366E" w:rsidRDefault="00C2366E" w:rsidP="00C2366E">
      <w:pPr>
        <w:keepLines/>
        <w:tabs>
          <w:tab w:val="left" w:pos="1134"/>
        </w:tabs>
        <w:autoSpaceDE w:val="0"/>
        <w:autoSpaceDN w:val="0"/>
        <w:adjustRightInd w:val="0"/>
        <w:ind w:firstLine="1080"/>
        <w:jc w:val="both"/>
        <w:rPr>
          <w:rFonts w:ascii="Arial" w:hAnsi="Arial" w:cs="Arial"/>
          <w:color w:val="000000"/>
          <w:sz w:val="22"/>
          <w:szCs w:val="22"/>
        </w:rPr>
      </w:pPr>
    </w:p>
    <w:p w:rsidR="00C2366E" w:rsidRPr="00C2366E" w:rsidRDefault="00C2366E" w:rsidP="00C2366E">
      <w:pPr>
        <w:pStyle w:val="NormalWeb"/>
        <w:ind w:firstLine="708"/>
        <w:jc w:val="both"/>
        <w:rPr>
          <w:rFonts w:ascii="Arial" w:hAnsi="Arial" w:cs="Arial"/>
          <w:sz w:val="22"/>
          <w:szCs w:val="22"/>
        </w:rPr>
      </w:pPr>
      <w:r w:rsidRPr="00C2366E">
        <w:rPr>
          <w:rFonts w:ascii="Arial" w:hAnsi="Arial" w:cs="Arial"/>
          <w:b/>
          <w:sz w:val="22"/>
          <w:szCs w:val="22"/>
        </w:rPr>
        <w:t xml:space="preserve">Art. 1º </w:t>
      </w:r>
      <w:r w:rsidRPr="00C2366E">
        <w:rPr>
          <w:rFonts w:ascii="Arial" w:hAnsi="Arial" w:cs="Arial"/>
          <w:sz w:val="22"/>
          <w:szCs w:val="22"/>
        </w:rPr>
        <w:t xml:space="preserve">O Anexo I da Lei Complementar Municipal nº 66 de 23 de dezembro de 2009, passa a vigorar com o seguinte acréscimo que dispõe sobre o retorno do emprego de comprador ao quadro dos empregos efetivos da Prefeitura Municipal, ampliando para </w:t>
      </w:r>
      <w:smartTag w:uri="urn:schemas-microsoft-com:office:smarttags" w:element="PersonName">
        <w:smartTagPr>
          <w:attr w:name="ProductID" w:val="20 a"/>
        </w:smartTagPr>
        <w:r w:rsidRPr="00C2366E">
          <w:rPr>
            <w:rFonts w:ascii="Arial" w:hAnsi="Arial" w:cs="Arial"/>
            <w:sz w:val="22"/>
            <w:szCs w:val="22"/>
          </w:rPr>
          <w:t>20 a</w:t>
        </w:r>
      </w:smartTag>
      <w:r w:rsidRPr="00C2366E">
        <w:rPr>
          <w:rFonts w:ascii="Arial" w:hAnsi="Arial" w:cs="Arial"/>
          <w:sz w:val="22"/>
          <w:szCs w:val="22"/>
        </w:rPr>
        <w:t xml:space="preserve"> quantidade das respectivas vagas: </w:t>
      </w:r>
    </w:p>
    <w:p w:rsidR="00C2366E" w:rsidRPr="00C2366E" w:rsidRDefault="00C2366E" w:rsidP="00C2366E">
      <w:pPr>
        <w:jc w:val="center"/>
        <w:rPr>
          <w:rFonts w:ascii="Arial" w:hAnsi="Arial" w:cs="Arial"/>
          <w:b/>
          <w:bCs/>
          <w:sz w:val="22"/>
          <w:szCs w:val="22"/>
        </w:rPr>
      </w:pPr>
    </w:p>
    <w:p w:rsidR="00C2366E" w:rsidRPr="00C2366E" w:rsidRDefault="00C2366E" w:rsidP="00C2366E">
      <w:pPr>
        <w:jc w:val="center"/>
        <w:rPr>
          <w:rFonts w:ascii="Arial" w:hAnsi="Arial" w:cs="Arial"/>
          <w:b/>
          <w:bCs/>
          <w:sz w:val="22"/>
          <w:szCs w:val="22"/>
        </w:rPr>
      </w:pPr>
      <w:r w:rsidRPr="00C2366E">
        <w:rPr>
          <w:rFonts w:ascii="Arial" w:hAnsi="Arial" w:cs="Arial"/>
          <w:b/>
          <w:bCs/>
          <w:sz w:val="22"/>
          <w:szCs w:val="22"/>
        </w:rPr>
        <w:t>ANEXO I - QUADRO DE EMPREGOS.</w:t>
      </w:r>
    </w:p>
    <w:p w:rsidR="00C2366E" w:rsidRPr="00C2366E" w:rsidRDefault="00C2366E" w:rsidP="00C2366E">
      <w:pPr>
        <w:jc w:val="center"/>
        <w:rPr>
          <w:rFonts w:ascii="Arial" w:hAnsi="Arial" w:cs="Arial"/>
          <w:b/>
          <w:bCs/>
          <w:sz w:val="22"/>
          <w:szCs w:val="22"/>
        </w:rPr>
      </w:pPr>
    </w:p>
    <w:tbl>
      <w:tblPr>
        <w:tblW w:w="8601" w:type="dxa"/>
        <w:tblInd w:w="55" w:type="dxa"/>
        <w:tblCellMar>
          <w:left w:w="70" w:type="dxa"/>
          <w:right w:w="70" w:type="dxa"/>
        </w:tblCellMar>
        <w:tblLook w:val="0000" w:firstRow="0" w:lastRow="0" w:firstColumn="0" w:lastColumn="0" w:noHBand="0" w:noVBand="0"/>
      </w:tblPr>
      <w:tblGrid>
        <w:gridCol w:w="3735"/>
        <w:gridCol w:w="1021"/>
        <w:gridCol w:w="3038"/>
        <w:gridCol w:w="807"/>
      </w:tblGrid>
      <w:tr w:rsidR="00C2366E" w:rsidRPr="00C2366E" w:rsidTr="009A3575">
        <w:trPr>
          <w:trHeight w:val="315"/>
        </w:trPr>
        <w:tc>
          <w:tcPr>
            <w:tcW w:w="3735" w:type="dxa"/>
            <w:tcBorders>
              <w:top w:val="single" w:sz="4" w:space="0" w:color="auto"/>
              <w:left w:val="single" w:sz="4" w:space="0" w:color="auto"/>
              <w:bottom w:val="single" w:sz="4" w:space="0" w:color="auto"/>
              <w:right w:val="single" w:sz="4" w:space="0" w:color="auto"/>
            </w:tcBorders>
            <w:shd w:val="clear" w:color="auto" w:fill="000000"/>
            <w:noWrap/>
            <w:vAlign w:val="center"/>
          </w:tcPr>
          <w:p w:rsidR="00C2366E" w:rsidRPr="00C2366E" w:rsidRDefault="00C2366E" w:rsidP="009A3575">
            <w:pPr>
              <w:jc w:val="center"/>
              <w:rPr>
                <w:rFonts w:ascii="Arial" w:hAnsi="Arial" w:cs="Arial"/>
                <w:b/>
                <w:bCs/>
                <w:color w:val="FFFFFF"/>
                <w:sz w:val="22"/>
                <w:szCs w:val="22"/>
              </w:rPr>
            </w:pPr>
            <w:r w:rsidRPr="00C2366E">
              <w:rPr>
                <w:rFonts w:ascii="Arial" w:hAnsi="Arial" w:cs="Arial"/>
                <w:b/>
                <w:bCs/>
                <w:color w:val="FFFFFF"/>
                <w:sz w:val="22"/>
                <w:szCs w:val="22"/>
              </w:rPr>
              <w:t>DENOMINAÇÃO</w:t>
            </w:r>
          </w:p>
        </w:tc>
        <w:tc>
          <w:tcPr>
            <w:tcW w:w="1021" w:type="dxa"/>
            <w:tcBorders>
              <w:top w:val="single" w:sz="4" w:space="0" w:color="auto"/>
              <w:left w:val="nil"/>
              <w:bottom w:val="single" w:sz="4" w:space="0" w:color="auto"/>
              <w:right w:val="single" w:sz="4" w:space="0" w:color="auto"/>
            </w:tcBorders>
            <w:shd w:val="clear" w:color="auto" w:fill="000000"/>
            <w:noWrap/>
            <w:vAlign w:val="center"/>
          </w:tcPr>
          <w:p w:rsidR="00C2366E" w:rsidRPr="00C2366E" w:rsidRDefault="00C2366E" w:rsidP="009A3575">
            <w:pPr>
              <w:jc w:val="center"/>
              <w:rPr>
                <w:rFonts w:ascii="Arial" w:hAnsi="Arial" w:cs="Arial"/>
                <w:b/>
                <w:bCs/>
                <w:color w:val="FFFFFF"/>
                <w:sz w:val="22"/>
                <w:szCs w:val="22"/>
              </w:rPr>
            </w:pPr>
            <w:r w:rsidRPr="00C2366E">
              <w:rPr>
                <w:rFonts w:ascii="Arial" w:hAnsi="Arial" w:cs="Arial"/>
                <w:b/>
                <w:bCs/>
                <w:color w:val="FFFFFF"/>
                <w:sz w:val="22"/>
                <w:szCs w:val="22"/>
              </w:rPr>
              <w:t>GRUPO</w:t>
            </w:r>
          </w:p>
        </w:tc>
        <w:tc>
          <w:tcPr>
            <w:tcW w:w="3038" w:type="dxa"/>
            <w:tcBorders>
              <w:top w:val="single" w:sz="4" w:space="0" w:color="auto"/>
              <w:left w:val="nil"/>
              <w:bottom w:val="single" w:sz="4" w:space="0" w:color="auto"/>
              <w:right w:val="single" w:sz="4" w:space="0" w:color="auto"/>
            </w:tcBorders>
            <w:shd w:val="clear" w:color="auto" w:fill="000000"/>
            <w:vAlign w:val="center"/>
          </w:tcPr>
          <w:p w:rsidR="00C2366E" w:rsidRPr="00C2366E" w:rsidRDefault="00C2366E" w:rsidP="009A3575">
            <w:pPr>
              <w:jc w:val="center"/>
              <w:rPr>
                <w:rFonts w:ascii="Arial" w:hAnsi="Arial" w:cs="Arial"/>
                <w:b/>
                <w:bCs/>
                <w:color w:val="FFFFFF"/>
                <w:sz w:val="22"/>
                <w:szCs w:val="22"/>
              </w:rPr>
            </w:pPr>
            <w:r w:rsidRPr="00C2366E">
              <w:rPr>
                <w:rFonts w:ascii="Arial" w:hAnsi="Arial" w:cs="Arial"/>
                <w:b/>
                <w:bCs/>
                <w:color w:val="FFFFFF"/>
                <w:sz w:val="22"/>
                <w:szCs w:val="22"/>
              </w:rPr>
              <w:t>EXIGÊNCIA DE INGRESSO</w:t>
            </w:r>
          </w:p>
        </w:tc>
        <w:tc>
          <w:tcPr>
            <w:tcW w:w="807" w:type="dxa"/>
            <w:tcBorders>
              <w:top w:val="single" w:sz="4" w:space="0" w:color="auto"/>
              <w:left w:val="nil"/>
              <w:bottom w:val="single" w:sz="4" w:space="0" w:color="auto"/>
              <w:right w:val="single" w:sz="4" w:space="0" w:color="auto"/>
            </w:tcBorders>
            <w:shd w:val="clear" w:color="auto" w:fill="000000"/>
            <w:noWrap/>
            <w:vAlign w:val="center"/>
          </w:tcPr>
          <w:p w:rsidR="00C2366E" w:rsidRPr="00C2366E" w:rsidRDefault="00C2366E" w:rsidP="009A3575">
            <w:pPr>
              <w:jc w:val="center"/>
              <w:rPr>
                <w:rFonts w:ascii="Arial" w:hAnsi="Arial" w:cs="Arial"/>
                <w:b/>
                <w:bCs/>
                <w:color w:val="FFFFFF"/>
                <w:sz w:val="22"/>
                <w:szCs w:val="22"/>
              </w:rPr>
            </w:pPr>
            <w:r w:rsidRPr="00C2366E">
              <w:rPr>
                <w:rFonts w:ascii="Arial" w:hAnsi="Arial" w:cs="Arial"/>
                <w:b/>
                <w:bCs/>
                <w:color w:val="FFFFFF"/>
                <w:sz w:val="22"/>
                <w:szCs w:val="22"/>
              </w:rPr>
              <w:t>QTDE</w:t>
            </w:r>
          </w:p>
        </w:tc>
      </w:tr>
      <w:tr w:rsidR="00C2366E" w:rsidRPr="00C2366E" w:rsidTr="009A3575">
        <w:trPr>
          <w:trHeight w:val="600"/>
        </w:trPr>
        <w:tc>
          <w:tcPr>
            <w:tcW w:w="3735" w:type="dxa"/>
            <w:tcBorders>
              <w:top w:val="nil"/>
              <w:left w:val="single" w:sz="4" w:space="0" w:color="auto"/>
              <w:bottom w:val="single" w:sz="4" w:space="0" w:color="auto"/>
              <w:right w:val="single" w:sz="4" w:space="0" w:color="auto"/>
            </w:tcBorders>
            <w:shd w:val="clear" w:color="auto" w:fill="auto"/>
            <w:vAlign w:val="center"/>
          </w:tcPr>
          <w:p w:rsidR="00C2366E" w:rsidRPr="00C2366E" w:rsidRDefault="00C2366E" w:rsidP="009A3575">
            <w:pPr>
              <w:jc w:val="center"/>
              <w:rPr>
                <w:rFonts w:ascii="Arial" w:hAnsi="Arial" w:cs="Arial"/>
                <w:sz w:val="22"/>
                <w:szCs w:val="22"/>
              </w:rPr>
            </w:pPr>
            <w:r w:rsidRPr="00C2366E">
              <w:rPr>
                <w:rFonts w:ascii="Arial" w:hAnsi="Arial" w:cs="Arial"/>
                <w:sz w:val="22"/>
                <w:szCs w:val="22"/>
              </w:rPr>
              <w:t>COMPRADOR</w:t>
            </w:r>
          </w:p>
        </w:tc>
        <w:tc>
          <w:tcPr>
            <w:tcW w:w="1021" w:type="dxa"/>
            <w:tcBorders>
              <w:top w:val="nil"/>
              <w:left w:val="nil"/>
              <w:bottom w:val="single" w:sz="4" w:space="0" w:color="auto"/>
              <w:right w:val="single" w:sz="4" w:space="0" w:color="auto"/>
            </w:tcBorders>
            <w:shd w:val="clear" w:color="auto" w:fill="auto"/>
            <w:noWrap/>
            <w:vAlign w:val="center"/>
          </w:tcPr>
          <w:p w:rsidR="00C2366E" w:rsidRPr="00C2366E" w:rsidRDefault="00C2366E" w:rsidP="009A3575">
            <w:pPr>
              <w:jc w:val="center"/>
              <w:rPr>
                <w:rFonts w:ascii="Arial" w:hAnsi="Arial" w:cs="Arial"/>
                <w:sz w:val="22"/>
                <w:szCs w:val="22"/>
              </w:rPr>
            </w:pPr>
            <w:r w:rsidRPr="00C2366E">
              <w:rPr>
                <w:rFonts w:ascii="Arial" w:hAnsi="Arial" w:cs="Arial"/>
                <w:sz w:val="22"/>
                <w:szCs w:val="22"/>
              </w:rPr>
              <w:t>H</w:t>
            </w:r>
          </w:p>
        </w:tc>
        <w:tc>
          <w:tcPr>
            <w:tcW w:w="3038" w:type="dxa"/>
            <w:tcBorders>
              <w:top w:val="nil"/>
              <w:left w:val="nil"/>
              <w:bottom w:val="single" w:sz="4" w:space="0" w:color="auto"/>
              <w:right w:val="single" w:sz="4" w:space="0" w:color="auto"/>
            </w:tcBorders>
            <w:shd w:val="clear" w:color="auto" w:fill="auto"/>
            <w:vAlign w:val="center"/>
          </w:tcPr>
          <w:p w:rsidR="00C2366E" w:rsidRPr="00C2366E" w:rsidRDefault="00C2366E" w:rsidP="009A3575">
            <w:pPr>
              <w:jc w:val="center"/>
              <w:rPr>
                <w:rFonts w:ascii="Arial" w:hAnsi="Arial" w:cs="Arial"/>
                <w:sz w:val="22"/>
                <w:szCs w:val="22"/>
              </w:rPr>
            </w:pPr>
            <w:r w:rsidRPr="00C2366E">
              <w:rPr>
                <w:rFonts w:ascii="Arial" w:hAnsi="Arial" w:cs="Arial"/>
                <w:sz w:val="22"/>
                <w:szCs w:val="22"/>
              </w:rPr>
              <w:t>NÍVEL MÉDIO + EXPERIÊNCIA PROFISSIONAL</w:t>
            </w:r>
          </w:p>
        </w:tc>
        <w:tc>
          <w:tcPr>
            <w:tcW w:w="807" w:type="dxa"/>
            <w:tcBorders>
              <w:top w:val="nil"/>
              <w:left w:val="nil"/>
              <w:bottom w:val="single" w:sz="4" w:space="0" w:color="auto"/>
              <w:right w:val="single" w:sz="4" w:space="0" w:color="auto"/>
            </w:tcBorders>
            <w:shd w:val="clear" w:color="auto" w:fill="auto"/>
            <w:noWrap/>
            <w:vAlign w:val="center"/>
          </w:tcPr>
          <w:p w:rsidR="00C2366E" w:rsidRPr="00C2366E" w:rsidRDefault="00C2366E" w:rsidP="009A3575">
            <w:pPr>
              <w:jc w:val="center"/>
              <w:rPr>
                <w:rFonts w:ascii="Arial" w:hAnsi="Arial" w:cs="Arial"/>
                <w:sz w:val="22"/>
                <w:szCs w:val="22"/>
              </w:rPr>
            </w:pPr>
            <w:r w:rsidRPr="00C2366E">
              <w:rPr>
                <w:rFonts w:ascii="Arial" w:hAnsi="Arial" w:cs="Arial"/>
                <w:sz w:val="22"/>
                <w:szCs w:val="22"/>
              </w:rPr>
              <w:t>20</w:t>
            </w:r>
          </w:p>
        </w:tc>
      </w:tr>
    </w:tbl>
    <w:p w:rsidR="00C2366E" w:rsidRPr="00C2366E" w:rsidRDefault="00C2366E" w:rsidP="00C2366E">
      <w:pPr>
        <w:pStyle w:val="NormalWeb"/>
        <w:ind w:firstLine="708"/>
        <w:jc w:val="both"/>
        <w:rPr>
          <w:rFonts w:ascii="Arial" w:hAnsi="Arial" w:cs="Arial"/>
          <w:b/>
          <w:sz w:val="22"/>
          <w:szCs w:val="22"/>
        </w:rPr>
      </w:pPr>
    </w:p>
    <w:p w:rsidR="00C2366E" w:rsidRDefault="00C2366E" w:rsidP="00C2366E">
      <w:pPr>
        <w:pStyle w:val="NormalWeb"/>
        <w:ind w:firstLine="708"/>
        <w:jc w:val="both"/>
        <w:rPr>
          <w:rFonts w:ascii="Arial" w:hAnsi="Arial" w:cs="Arial"/>
          <w:b/>
          <w:sz w:val="22"/>
          <w:szCs w:val="22"/>
        </w:rPr>
      </w:pPr>
      <w:r w:rsidRPr="00C2366E">
        <w:rPr>
          <w:rFonts w:ascii="Arial" w:hAnsi="Arial" w:cs="Arial"/>
          <w:b/>
          <w:sz w:val="22"/>
          <w:szCs w:val="22"/>
        </w:rPr>
        <w:t xml:space="preserve">Art. 2º </w:t>
      </w:r>
      <w:r w:rsidRPr="00C2366E">
        <w:rPr>
          <w:rFonts w:ascii="Arial" w:hAnsi="Arial" w:cs="Arial"/>
          <w:sz w:val="22"/>
          <w:szCs w:val="22"/>
        </w:rPr>
        <w:t>Tendo em vista a disposição contida no artigo anterior, o Anexo II da Lei Complementar Municipal nº 66 de 23 de dezembro de 2009, passa a vigorar com o seguinte acréscimo:</w:t>
      </w:r>
      <w:r w:rsidRPr="00C2366E">
        <w:rPr>
          <w:rFonts w:ascii="Arial" w:hAnsi="Arial" w:cs="Arial"/>
          <w:b/>
          <w:sz w:val="22"/>
          <w:szCs w:val="22"/>
        </w:rPr>
        <w:t xml:space="preserve"> </w:t>
      </w:r>
    </w:p>
    <w:p w:rsidR="00C2366E" w:rsidRDefault="00C2366E" w:rsidP="00C2366E">
      <w:pPr>
        <w:pStyle w:val="NormalWeb"/>
        <w:ind w:firstLine="708"/>
        <w:jc w:val="both"/>
        <w:rPr>
          <w:rFonts w:ascii="Arial" w:hAnsi="Arial" w:cs="Arial"/>
          <w:b/>
          <w:sz w:val="22"/>
          <w:szCs w:val="22"/>
        </w:rPr>
      </w:pPr>
    </w:p>
    <w:p w:rsidR="00C2366E" w:rsidRPr="00C2366E" w:rsidRDefault="00C2366E" w:rsidP="00C2366E">
      <w:pPr>
        <w:pStyle w:val="NormalWeb"/>
        <w:ind w:firstLine="708"/>
        <w:jc w:val="both"/>
        <w:rPr>
          <w:rFonts w:ascii="Arial" w:hAnsi="Arial" w:cs="Arial"/>
          <w:b/>
          <w:sz w:val="22"/>
          <w:szCs w:val="22"/>
        </w:rPr>
      </w:pPr>
    </w:p>
    <w:p w:rsidR="00C2366E" w:rsidRPr="00C2366E" w:rsidRDefault="00C2366E" w:rsidP="00C2366E">
      <w:pPr>
        <w:jc w:val="center"/>
        <w:rPr>
          <w:rFonts w:ascii="Arial" w:hAnsi="Arial" w:cs="Arial"/>
          <w:b/>
          <w:bCs/>
          <w:sz w:val="22"/>
          <w:szCs w:val="22"/>
        </w:rPr>
      </w:pPr>
      <w:r w:rsidRPr="00C2366E">
        <w:rPr>
          <w:rFonts w:ascii="Arial" w:hAnsi="Arial" w:cs="Arial"/>
          <w:b/>
          <w:bCs/>
          <w:sz w:val="22"/>
          <w:szCs w:val="22"/>
        </w:rPr>
        <w:t>ANEXO II – ATRIBUIÇÕES</w:t>
      </w:r>
    </w:p>
    <w:p w:rsidR="00C2366E" w:rsidRPr="00C2366E" w:rsidRDefault="00C2366E" w:rsidP="00C2366E">
      <w:pPr>
        <w:jc w:val="center"/>
        <w:rPr>
          <w:rFonts w:ascii="Arial" w:hAnsi="Arial" w:cs="Arial"/>
          <w:b/>
          <w:bCs/>
          <w:sz w:val="22"/>
          <w:szCs w:val="22"/>
        </w:rPr>
      </w:pPr>
    </w:p>
    <w:tbl>
      <w:tblPr>
        <w:tblW w:w="9121" w:type="dxa"/>
        <w:tblInd w:w="70" w:type="dxa"/>
        <w:tblCellMar>
          <w:left w:w="70" w:type="dxa"/>
          <w:right w:w="70" w:type="dxa"/>
        </w:tblCellMar>
        <w:tblLook w:val="0000" w:firstRow="0" w:lastRow="0" w:firstColumn="0" w:lastColumn="0" w:noHBand="0" w:noVBand="0"/>
      </w:tblPr>
      <w:tblGrid>
        <w:gridCol w:w="2880"/>
        <w:gridCol w:w="4500"/>
        <w:gridCol w:w="1741"/>
      </w:tblGrid>
      <w:tr w:rsidR="00C2366E" w:rsidRPr="00C2366E" w:rsidTr="009A3575">
        <w:trPr>
          <w:trHeight w:val="270"/>
        </w:trPr>
        <w:tc>
          <w:tcPr>
            <w:tcW w:w="2880" w:type="dxa"/>
            <w:tcBorders>
              <w:top w:val="single" w:sz="8" w:space="0" w:color="auto"/>
              <w:left w:val="single" w:sz="8" w:space="0" w:color="auto"/>
              <w:bottom w:val="nil"/>
              <w:right w:val="single" w:sz="4" w:space="0" w:color="auto"/>
            </w:tcBorders>
            <w:shd w:val="clear" w:color="auto" w:fill="000000"/>
            <w:noWrap/>
            <w:vAlign w:val="center"/>
          </w:tcPr>
          <w:p w:rsidR="00C2366E" w:rsidRPr="00C2366E" w:rsidRDefault="00C2366E" w:rsidP="009A3575">
            <w:pPr>
              <w:jc w:val="center"/>
              <w:rPr>
                <w:rFonts w:ascii="Arial" w:hAnsi="Arial" w:cs="Arial"/>
                <w:b/>
                <w:bCs/>
                <w:color w:val="FFFFFF"/>
                <w:sz w:val="22"/>
                <w:szCs w:val="22"/>
              </w:rPr>
            </w:pPr>
            <w:r w:rsidRPr="00C2366E">
              <w:rPr>
                <w:rFonts w:ascii="Arial" w:hAnsi="Arial" w:cs="Arial"/>
                <w:b/>
                <w:bCs/>
                <w:color w:val="FFFFFF"/>
                <w:sz w:val="22"/>
                <w:szCs w:val="22"/>
              </w:rPr>
              <w:t xml:space="preserve">EMPREGO </w:t>
            </w:r>
          </w:p>
        </w:tc>
        <w:tc>
          <w:tcPr>
            <w:tcW w:w="4500" w:type="dxa"/>
            <w:tcBorders>
              <w:top w:val="single" w:sz="8" w:space="0" w:color="auto"/>
              <w:left w:val="nil"/>
              <w:bottom w:val="nil"/>
              <w:right w:val="single" w:sz="4" w:space="0" w:color="auto"/>
            </w:tcBorders>
            <w:shd w:val="clear" w:color="auto" w:fill="000000"/>
            <w:noWrap/>
            <w:vAlign w:val="center"/>
          </w:tcPr>
          <w:p w:rsidR="00C2366E" w:rsidRPr="00C2366E" w:rsidRDefault="00C2366E" w:rsidP="009A3575">
            <w:pPr>
              <w:jc w:val="center"/>
              <w:rPr>
                <w:rFonts w:ascii="Arial" w:hAnsi="Arial" w:cs="Arial"/>
                <w:b/>
                <w:bCs/>
                <w:color w:val="FFFFFF"/>
                <w:sz w:val="22"/>
                <w:szCs w:val="22"/>
              </w:rPr>
            </w:pPr>
            <w:r w:rsidRPr="00C2366E">
              <w:rPr>
                <w:rFonts w:ascii="Arial" w:hAnsi="Arial" w:cs="Arial"/>
                <w:b/>
                <w:bCs/>
                <w:color w:val="FFFFFF"/>
                <w:sz w:val="22"/>
                <w:szCs w:val="22"/>
              </w:rPr>
              <w:t>ATRIBUIÇÕES</w:t>
            </w:r>
          </w:p>
        </w:tc>
        <w:tc>
          <w:tcPr>
            <w:tcW w:w="1741" w:type="dxa"/>
            <w:tcBorders>
              <w:top w:val="single" w:sz="8" w:space="0" w:color="auto"/>
              <w:left w:val="nil"/>
              <w:bottom w:val="nil"/>
              <w:right w:val="single" w:sz="8" w:space="0" w:color="auto"/>
            </w:tcBorders>
            <w:shd w:val="clear" w:color="auto" w:fill="000000"/>
            <w:noWrap/>
            <w:vAlign w:val="center"/>
          </w:tcPr>
          <w:p w:rsidR="00C2366E" w:rsidRPr="00C2366E" w:rsidRDefault="00C2366E" w:rsidP="009A3575">
            <w:pPr>
              <w:jc w:val="center"/>
              <w:rPr>
                <w:rFonts w:ascii="Arial" w:hAnsi="Arial" w:cs="Arial"/>
                <w:b/>
                <w:bCs/>
                <w:color w:val="FFFFFF"/>
                <w:sz w:val="22"/>
                <w:szCs w:val="22"/>
              </w:rPr>
            </w:pPr>
            <w:r w:rsidRPr="00C2366E">
              <w:rPr>
                <w:rFonts w:ascii="Arial" w:hAnsi="Arial" w:cs="Arial"/>
                <w:b/>
                <w:bCs/>
                <w:color w:val="FFFFFF"/>
                <w:sz w:val="22"/>
                <w:szCs w:val="22"/>
              </w:rPr>
              <w:t>JORNADA</w:t>
            </w:r>
          </w:p>
        </w:tc>
      </w:tr>
      <w:tr w:rsidR="00C2366E" w:rsidRPr="00C2366E" w:rsidTr="009A3575">
        <w:trPr>
          <w:trHeight w:val="1530"/>
        </w:trPr>
        <w:tc>
          <w:tcPr>
            <w:tcW w:w="2880" w:type="dxa"/>
            <w:tcBorders>
              <w:top w:val="nil"/>
              <w:left w:val="single" w:sz="8" w:space="0" w:color="auto"/>
              <w:bottom w:val="single" w:sz="4" w:space="0" w:color="auto"/>
              <w:right w:val="single" w:sz="4" w:space="0" w:color="auto"/>
            </w:tcBorders>
            <w:shd w:val="clear" w:color="auto" w:fill="auto"/>
            <w:vAlign w:val="center"/>
          </w:tcPr>
          <w:p w:rsidR="00C2366E" w:rsidRPr="00C2366E" w:rsidRDefault="00C2366E" w:rsidP="009A3575">
            <w:pPr>
              <w:jc w:val="center"/>
              <w:rPr>
                <w:rFonts w:ascii="Arial" w:hAnsi="Arial" w:cs="Arial"/>
                <w:sz w:val="22"/>
                <w:szCs w:val="22"/>
              </w:rPr>
            </w:pPr>
            <w:r w:rsidRPr="00C2366E">
              <w:rPr>
                <w:rFonts w:ascii="Arial" w:hAnsi="Arial" w:cs="Arial"/>
                <w:sz w:val="22"/>
                <w:szCs w:val="22"/>
              </w:rPr>
              <w:t>COMPRADOR</w:t>
            </w:r>
          </w:p>
        </w:tc>
        <w:tc>
          <w:tcPr>
            <w:tcW w:w="4500" w:type="dxa"/>
            <w:tcBorders>
              <w:top w:val="nil"/>
              <w:left w:val="nil"/>
              <w:bottom w:val="single" w:sz="4" w:space="0" w:color="auto"/>
              <w:right w:val="single" w:sz="4" w:space="0" w:color="auto"/>
            </w:tcBorders>
            <w:shd w:val="clear" w:color="auto" w:fill="auto"/>
            <w:vAlign w:val="center"/>
          </w:tcPr>
          <w:p w:rsidR="00C2366E" w:rsidRPr="00C2366E" w:rsidRDefault="00C2366E" w:rsidP="009A3575">
            <w:pPr>
              <w:jc w:val="both"/>
              <w:rPr>
                <w:rFonts w:ascii="Arial" w:hAnsi="Arial" w:cs="Arial"/>
                <w:sz w:val="22"/>
                <w:szCs w:val="22"/>
              </w:rPr>
            </w:pPr>
            <w:r w:rsidRPr="00C2366E">
              <w:rPr>
                <w:rFonts w:ascii="Arial" w:hAnsi="Arial" w:cs="Arial"/>
                <w:sz w:val="22"/>
                <w:szCs w:val="22"/>
              </w:rPr>
              <w:t>Receber requisições de compras, executar processo de cotação e concretizar a compra de serviços, produtos, matérias-primas e equipamentos. Acompanhar o fluxo de entregas, desenvolver fornecedores de materiais e serviços; supervisionar equipes e processos de compra. Preparar relatórios e fazer o papel de interlocutor entre requisitantes e fornecedores</w:t>
            </w:r>
          </w:p>
        </w:tc>
        <w:tc>
          <w:tcPr>
            <w:tcW w:w="1741" w:type="dxa"/>
            <w:tcBorders>
              <w:top w:val="nil"/>
              <w:left w:val="nil"/>
              <w:bottom w:val="single" w:sz="4" w:space="0" w:color="auto"/>
              <w:right w:val="single" w:sz="8" w:space="0" w:color="auto"/>
            </w:tcBorders>
            <w:shd w:val="clear" w:color="auto" w:fill="auto"/>
            <w:noWrap/>
            <w:vAlign w:val="center"/>
          </w:tcPr>
          <w:p w:rsidR="00C2366E" w:rsidRPr="00C2366E" w:rsidRDefault="00C2366E" w:rsidP="009A3575">
            <w:pPr>
              <w:jc w:val="center"/>
              <w:rPr>
                <w:rFonts w:ascii="Arial" w:hAnsi="Arial" w:cs="Arial"/>
                <w:sz w:val="22"/>
                <w:szCs w:val="22"/>
              </w:rPr>
            </w:pPr>
            <w:r w:rsidRPr="00C2366E">
              <w:rPr>
                <w:rFonts w:ascii="Arial" w:hAnsi="Arial" w:cs="Arial"/>
                <w:sz w:val="22"/>
                <w:szCs w:val="22"/>
              </w:rPr>
              <w:t>212,5</w:t>
            </w:r>
          </w:p>
        </w:tc>
      </w:tr>
    </w:tbl>
    <w:p w:rsidR="00C2366E" w:rsidRPr="00C2366E" w:rsidRDefault="00C2366E" w:rsidP="00C2366E">
      <w:pPr>
        <w:rPr>
          <w:sz w:val="22"/>
          <w:szCs w:val="22"/>
        </w:rPr>
      </w:pPr>
    </w:p>
    <w:p w:rsidR="00C2366E" w:rsidRPr="00C2366E" w:rsidRDefault="00C2366E" w:rsidP="00C2366E">
      <w:pPr>
        <w:pStyle w:val="NormalWeb"/>
        <w:ind w:firstLine="708"/>
        <w:jc w:val="both"/>
        <w:rPr>
          <w:rFonts w:ascii="Arial" w:hAnsi="Arial" w:cs="Arial"/>
          <w:sz w:val="22"/>
          <w:szCs w:val="22"/>
        </w:rPr>
      </w:pPr>
      <w:r w:rsidRPr="00C2366E">
        <w:rPr>
          <w:rFonts w:ascii="Arial" w:hAnsi="Arial" w:cs="Arial"/>
          <w:b/>
          <w:sz w:val="22"/>
          <w:szCs w:val="22"/>
        </w:rPr>
        <w:lastRenderedPageBreak/>
        <w:t xml:space="preserve">Art. 3º </w:t>
      </w:r>
      <w:r w:rsidRPr="00C2366E">
        <w:rPr>
          <w:rFonts w:ascii="Arial" w:hAnsi="Arial" w:cs="Arial"/>
          <w:sz w:val="22"/>
          <w:szCs w:val="22"/>
        </w:rPr>
        <w:t>O Anexo VI da Lei Complementar Municipal nº 66 de 23 de dezembro de 2009 passa a vigorar com a exclusão do emprego de comprador.</w:t>
      </w:r>
    </w:p>
    <w:p w:rsidR="00C2366E" w:rsidRPr="00C2366E" w:rsidRDefault="00C2366E" w:rsidP="00C2366E">
      <w:pPr>
        <w:rPr>
          <w:rFonts w:ascii="Arial" w:hAnsi="Arial" w:cs="Arial"/>
          <w:sz w:val="22"/>
          <w:szCs w:val="22"/>
        </w:rPr>
      </w:pPr>
      <w:r w:rsidRPr="00C2366E">
        <w:rPr>
          <w:rFonts w:ascii="Arial" w:hAnsi="Arial" w:cs="Arial"/>
          <w:sz w:val="22"/>
          <w:szCs w:val="22"/>
        </w:rPr>
        <w:t xml:space="preserve">           Santa Bárbara d’Oeste, 24 de maio de 2011.</w:t>
      </w:r>
    </w:p>
    <w:p w:rsidR="00C2366E" w:rsidRPr="00C2366E" w:rsidRDefault="00C2366E" w:rsidP="00C2366E">
      <w:pPr>
        <w:suppressAutoHyphens/>
        <w:ind w:right="-389"/>
        <w:jc w:val="center"/>
        <w:rPr>
          <w:rFonts w:ascii="Arial" w:hAnsi="Arial" w:cs="Arial"/>
          <w:bCs/>
          <w:sz w:val="22"/>
          <w:szCs w:val="22"/>
        </w:rPr>
      </w:pPr>
    </w:p>
    <w:p w:rsidR="00C2366E" w:rsidRPr="00C2366E" w:rsidRDefault="00C2366E" w:rsidP="00C2366E">
      <w:pPr>
        <w:suppressAutoHyphens/>
        <w:ind w:right="-389"/>
        <w:jc w:val="center"/>
        <w:rPr>
          <w:rFonts w:ascii="Arial" w:hAnsi="Arial" w:cs="Arial"/>
          <w:b/>
          <w:bCs/>
          <w:sz w:val="22"/>
          <w:szCs w:val="22"/>
        </w:rPr>
      </w:pPr>
    </w:p>
    <w:p w:rsidR="00C2366E" w:rsidRPr="00C2366E" w:rsidRDefault="00C2366E" w:rsidP="00C2366E">
      <w:pPr>
        <w:suppressAutoHyphens/>
        <w:ind w:right="-389"/>
        <w:jc w:val="center"/>
        <w:rPr>
          <w:rFonts w:ascii="Arial" w:hAnsi="Arial" w:cs="Arial"/>
          <w:b/>
          <w:bCs/>
          <w:sz w:val="22"/>
          <w:szCs w:val="22"/>
        </w:rPr>
      </w:pPr>
    </w:p>
    <w:p w:rsidR="00C2366E" w:rsidRPr="00C2366E" w:rsidRDefault="00C2366E" w:rsidP="00C2366E">
      <w:pPr>
        <w:suppressAutoHyphens/>
        <w:ind w:right="-389"/>
        <w:jc w:val="center"/>
        <w:rPr>
          <w:rFonts w:ascii="Arial" w:hAnsi="Arial" w:cs="Arial"/>
          <w:b/>
          <w:bCs/>
          <w:sz w:val="22"/>
          <w:szCs w:val="22"/>
        </w:rPr>
      </w:pPr>
      <w:r w:rsidRPr="00C2366E">
        <w:rPr>
          <w:rFonts w:ascii="Arial" w:hAnsi="Arial" w:cs="Arial"/>
          <w:b/>
          <w:bCs/>
          <w:sz w:val="22"/>
          <w:szCs w:val="22"/>
        </w:rPr>
        <w:t>MÁRIO CELSO HEINS</w:t>
      </w:r>
    </w:p>
    <w:p w:rsidR="00C2366E" w:rsidRPr="00C2366E" w:rsidRDefault="00C2366E" w:rsidP="00C2366E">
      <w:pPr>
        <w:suppressAutoHyphens/>
        <w:ind w:right="-389"/>
        <w:jc w:val="center"/>
        <w:rPr>
          <w:rFonts w:ascii="Arial" w:hAnsi="Arial" w:cs="Arial"/>
          <w:b/>
          <w:bCs/>
          <w:sz w:val="22"/>
          <w:szCs w:val="22"/>
        </w:rPr>
      </w:pPr>
      <w:r w:rsidRPr="00C2366E">
        <w:rPr>
          <w:rFonts w:ascii="Arial" w:hAnsi="Arial" w:cs="Arial"/>
          <w:b/>
          <w:snapToGrid w:val="0"/>
          <w:sz w:val="22"/>
          <w:szCs w:val="22"/>
        </w:rPr>
        <w:t>PREFEITO MUNICIPAL</w:t>
      </w: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p>
    <w:p w:rsidR="00C2366E" w:rsidRPr="00C2366E" w:rsidRDefault="00C2366E" w:rsidP="00C2366E">
      <w:pPr>
        <w:jc w:val="center"/>
        <w:rPr>
          <w:rFonts w:ascii="Arial" w:hAnsi="Arial" w:cs="Arial"/>
          <w:b/>
          <w:sz w:val="22"/>
          <w:szCs w:val="22"/>
          <w:u w:val="single"/>
        </w:rPr>
      </w:pPr>
      <w:r w:rsidRPr="00C2366E">
        <w:rPr>
          <w:rFonts w:ascii="Arial" w:hAnsi="Arial" w:cs="Arial"/>
          <w:b/>
          <w:sz w:val="22"/>
          <w:szCs w:val="22"/>
          <w:u w:val="single"/>
        </w:rPr>
        <w:lastRenderedPageBreak/>
        <w:t xml:space="preserve">EXPOSIÇÃO DE MOTIVOS </w:t>
      </w:r>
    </w:p>
    <w:p w:rsidR="00C2366E" w:rsidRPr="00C2366E" w:rsidRDefault="00C2366E" w:rsidP="00C2366E">
      <w:pPr>
        <w:jc w:val="center"/>
        <w:rPr>
          <w:rFonts w:ascii="Arial" w:hAnsi="Arial" w:cs="Arial"/>
          <w:b/>
          <w:sz w:val="22"/>
          <w:szCs w:val="22"/>
          <w:u w:val="single"/>
        </w:rPr>
      </w:pPr>
    </w:p>
    <w:p w:rsidR="00C2366E" w:rsidRPr="00C2366E" w:rsidRDefault="00C2366E" w:rsidP="00C2366E">
      <w:pPr>
        <w:pStyle w:val="NormalWeb"/>
        <w:jc w:val="both"/>
        <w:rPr>
          <w:rFonts w:ascii="Arial" w:hAnsi="Arial" w:cs="Arial"/>
          <w:sz w:val="22"/>
          <w:szCs w:val="22"/>
        </w:rPr>
      </w:pPr>
      <w:r w:rsidRPr="00C2366E">
        <w:rPr>
          <w:rFonts w:ascii="Arial" w:hAnsi="Arial" w:cs="Arial"/>
          <w:sz w:val="22"/>
          <w:szCs w:val="22"/>
        </w:rPr>
        <w:t xml:space="preserve">A presente propositura visa corrigir a Lei Complementar nº 66/2009 quanto ao emprego de comprador, uma vez que na reforma administrativa ocorrida em 2.009 tal emprego foi declarado extinto na vacância, conforme se depreende do Anexo VI da referida lei. </w:t>
      </w:r>
    </w:p>
    <w:p w:rsidR="00C2366E" w:rsidRPr="00C2366E" w:rsidRDefault="00C2366E" w:rsidP="00C2366E">
      <w:pPr>
        <w:pStyle w:val="NormalWeb"/>
        <w:jc w:val="both"/>
        <w:rPr>
          <w:rFonts w:ascii="Arial" w:hAnsi="Arial" w:cs="Arial"/>
          <w:sz w:val="22"/>
          <w:szCs w:val="22"/>
        </w:rPr>
      </w:pPr>
      <w:r w:rsidRPr="00C2366E">
        <w:rPr>
          <w:rFonts w:ascii="Arial" w:hAnsi="Arial" w:cs="Arial"/>
          <w:sz w:val="22"/>
          <w:szCs w:val="22"/>
        </w:rPr>
        <w:t xml:space="preserve">No entanto, observou-se que referida extinção não deve prosperar, pois o emprego de comprador é de relevância para o Município e, portanto, é imprescindível que ocorra a correção. </w:t>
      </w:r>
    </w:p>
    <w:p w:rsidR="00C2366E" w:rsidRPr="00C2366E" w:rsidRDefault="00C2366E" w:rsidP="00C2366E">
      <w:pPr>
        <w:pStyle w:val="NormalWeb"/>
        <w:jc w:val="both"/>
        <w:rPr>
          <w:rFonts w:ascii="Arial" w:hAnsi="Arial" w:cs="Arial"/>
          <w:sz w:val="22"/>
          <w:szCs w:val="22"/>
        </w:rPr>
      </w:pPr>
      <w:r w:rsidRPr="00C2366E">
        <w:rPr>
          <w:rFonts w:ascii="Arial" w:hAnsi="Arial" w:cs="Arial"/>
          <w:sz w:val="22"/>
          <w:szCs w:val="22"/>
        </w:rPr>
        <w:t xml:space="preserve">Com o presente projeto de lei, o emprego de comprador volta a fazer parte do quadro de empregos efetivos da Prefeitura Municipal, cuja admissão continuará ocorrendo através de concurso público. </w:t>
      </w:r>
    </w:p>
    <w:p w:rsidR="00C2366E" w:rsidRPr="00C2366E" w:rsidRDefault="00C2366E" w:rsidP="00C2366E">
      <w:pPr>
        <w:pStyle w:val="NormalWeb"/>
        <w:jc w:val="both"/>
        <w:rPr>
          <w:rFonts w:ascii="Arial" w:hAnsi="Arial" w:cs="Arial"/>
          <w:sz w:val="22"/>
          <w:szCs w:val="22"/>
        </w:rPr>
      </w:pPr>
      <w:r w:rsidRPr="00C2366E">
        <w:rPr>
          <w:rFonts w:ascii="Arial" w:hAnsi="Arial" w:cs="Arial"/>
          <w:sz w:val="22"/>
          <w:szCs w:val="22"/>
        </w:rPr>
        <w:t xml:space="preserve">Finalmente, ressalte-se que as atribuições, referência salarial e carga horária correspondem exatamente àquelas previstas para os antigos cargos, respeitando, assim, o princípio da isonomia. </w:t>
      </w:r>
    </w:p>
    <w:p w:rsidR="00C2366E" w:rsidRPr="00C2366E" w:rsidRDefault="00C2366E" w:rsidP="00C2366E">
      <w:pPr>
        <w:pStyle w:val="NormalWeb"/>
        <w:jc w:val="both"/>
        <w:rPr>
          <w:rFonts w:ascii="Arial" w:hAnsi="Arial" w:cs="Arial"/>
          <w:sz w:val="22"/>
          <w:szCs w:val="22"/>
        </w:rPr>
      </w:pPr>
      <w:r w:rsidRPr="00C2366E">
        <w:rPr>
          <w:rFonts w:ascii="Arial" w:hAnsi="Arial" w:cs="Arial"/>
          <w:sz w:val="22"/>
          <w:szCs w:val="22"/>
        </w:rPr>
        <w:t xml:space="preserve">Em anexo, segue a apresentação de demonstrativo de impacto financeiro, em atendimento a legislação vigente.   </w:t>
      </w:r>
    </w:p>
    <w:p w:rsidR="00C2366E" w:rsidRPr="00C2366E" w:rsidRDefault="00C2366E" w:rsidP="00C2366E">
      <w:pPr>
        <w:jc w:val="both"/>
        <w:rPr>
          <w:rFonts w:ascii="Arial" w:hAnsi="Arial" w:cs="Arial"/>
          <w:sz w:val="22"/>
          <w:szCs w:val="22"/>
        </w:rPr>
      </w:pPr>
      <w:r w:rsidRPr="00C2366E">
        <w:rPr>
          <w:rFonts w:ascii="Arial" w:hAnsi="Arial" w:cs="Arial"/>
          <w:sz w:val="22"/>
          <w:szCs w:val="22"/>
        </w:rPr>
        <w:t xml:space="preserve">Desta forma, pela relevância da matéria, encaminhamos às Vossas Excelências o presente Projeto de Lei Complementar, aguardando dos nobres Edis sua apreciação e aprovação em caráter de urgência. </w:t>
      </w:r>
    </w:p>
    <w:p w:rsidR="00C2366E" w:rsidRPr="00C2366E" w:rsidRDefault="00C2366E" w:rsidP="00C2366E">
      <w:pPr>
        <w:jc w:val="both"/>
        <w:rPr>
          <w:rFonts w:ascii="Arial" w:hAnsi="Arial" w:cs="Arial"/>
          <w:sz w:val="22"/>
          <w:szCs w:val="22"/>
        </w:rPr>
      </w:pPr>
    </w:p>
    <w:p w:rsidR="00C2366E" w:rsidRPr="00C2366E" w:rsidRDefault="00C2366E" w:rsidP="00C2366E">
      <w:pPr>
        <w:jc w:val="both"/>
        <w:rPr>
          <w:rFonts w:ascii="Arial" w:hAnsi="Arial" w:cs="Arial"/>
          <w:sz w:val="22"/>
          <w:szCs w:val="22"/>
        </w:rPr>
      </w:pPr>
    </w:p>
    <w:p w:rsidR="00C2366E" w:rsidRPr="00C2366E" w:rsidRDefault="00C2366E" w:rsidP="00C2366E">
      <w:pPr>
        <w:ind w:firstLine="3780"/>
        <w:jc w:val="both"/>
        <w:rPr>
          <w:rFonts w:ascii="Arial" w:hAnsi="Arial" w:cs="Arial"/>
          <w:b/>
          <w:sz w:val="22"/>
          <w:szCs w:val="22"/>
        </w:rPr>
      </w:pPr>
      <w:r w:rsidRPr="00C2366E">
        <w:rPr>
          <w:rFonts w:ascii="Arial" w:hAnsi="Arial" w:cs="Arial"/>
          <w:sz w:val="22"/>
          <w:szCs w:val="22"/>
        </w:rPr>
        <w:t xml:space="preserve"> </w:t>
      </w:r>
    </w:p>
    <w:p w:rsidR="00C2366E" w:rsidRPr="00C2366E" w:rsidRDefault="00C2366E" w:rsidP="00C2366E">
      <w:pPr>
        <w:ind w:firstLine="3780"/>
        <w:jc w:val="both"/>
        <w:rPr>
          <w:rFonts w:ascii="Arial" w:hAnsi="Arial" w:cs="Arial"/>
          <w:b/>
          <w:sz w:val="22"/>
          <w:szCs w:val="22"/>
        </w:rPr>
      </w:pPr>
    </w:p>
    <w:p w:rsidR="00C2366E" w:rsidRPr="00C2366E" w:rsidRDefault="00C2366E" w:rsidP="00C2366E">
      <w:pPr>
        <w:jc w:val="center"/>
        <w:rPr>
          <w:rFonts w:ascii="Arial" w:hAnsi="Arial" w:cs="Arial"/>
          <w:b/>
          <w:sz w:val="22"/>
          <w:szCs w:val="22"/>
        </w:rPr>
      </w:pPr>
      <w:r w:rsidRPr="00C2366E">
        <w:rPr>
          <w:rFonts w:ascii="Arial" w:hAnsi="Arial" w:cs="Arial"/>
          <w:b/>
          <w:sz w:val="22"/>
          <w:szCs w:val="22"/>
        </w:rPr>
        <w:t>MÁRIO CELSO HEINS</w:t>
      </w:r>
    </w:p>
    <w:p w:rsidR="00C2366E" w:rsidRPr="00C2366E" w:rsidRDefault="00C2366E" w:rsidP="00C2366E">
      <w:pPr>
        <w:jc w:val="center"/>
        <w:rPr>
          <w:rFonts w:ascii="Arial" w:hAnsi="Arial" w:cs="Arial"/>
          <w:b/>
          <w:sz w:val="22"/>
          <w:szCs w:val="22"/>
        </w:rPr>
      </w:pPr>
      <w:r w:rsidRPr="00C2366E">
        <w:rPr>
          <w:rFonts w:ascii="Arial" w:hAnsi="Arial" w:cs="Arial"/>
          <w:b/>
          <w:sz w:val="22"/>
          <w:szCs w:val="22"/>
        </w:rPr>
        <w:t>Prefeito Municipal</w:t>
      </w:r>
    </w:p>
    <w:p w:rsidR="00C2366E" w:rsidRPr="00C2366E" w:rsidRDefault="00C2366E" w:rsidP="00C2366E">
      <w:pPr>
        <w:jc w:val="both"/>
        <w:rPr>
          <w:rFonts w:ascii="Arial" w:hAnsi="Arial" w:cs="Arial"/>
          <w:sz w:val="22"/>
          <w:szCs w:val="22"/>
        </w:rPr>
      </w:pPr>
    </w:p>
    <w:p w:rsidR="00C2366E" w:rsidRPr="00C2366E" w:rsidRDefault="00C2366E" w:rsidP="00C2366E">
      <w:pPr>
        <w:ind w:right="-389"/>
        <w:rPr>
          <w:rFonts w:ascii="Arial" w:hAnsi="Arial" w:cs="Arial"/>
          <w:sz w:val="22"/>
          <w:szCs w:val="22"/>
        </w:rPr>
      </w:pPr>
    </w:p>
    <w:p w:rsidR="00C2366E" w:rsidRPr="00C2366E" w:rsidRDefault="00C2366E" w:rsidP="00C2366E">
      <w:pPr>
        <w:ind w:right="-389"/>
        <w:rPr>
          <w:rFonts w:ascii="Arial" w:hAnsi="Arial" w:cs="Arial"/>
          <w:sz w:val="22"/>
          <w:szCs w:val="22"/>
        </w:rPr>
      </w:pPr>
    </w:p>
    <w:p w:rsidR="00C2366E" w:rsidRPr="00C2366E" w:rsidRDefault="00C2366E" w:rsidP="00C2366E">
      <w:pPr>
        <w:ind w:right="-389"/>
        <w:rPr>
          <w:rFonts w:ascii="Arial" w:hAnsi="Arial" w:cs="Arial"/>
          <w:sz w:val="22"/>
          <w:szCs w:val="22"/>
        </w:rPr>
      </w:pPr>
    </w:p>
    <w:p w:rsidR="00C2366E" w:rsidRPr="00C2366E" w:rsidRDefault="00C2366E" w:rsidP="00C2366E">
      <w:pPr>
        <w:ind w:right="-389"/>
        <w:rPr>
          <w:rFonts w:ascii="Arial" w:hAnsi="Arial" w:cs="Arial"/>
          <w:sz w:val="22"/>
          <w:szCs w:val="22"/>
        </w:rPr>
      </w:pPr>
    </w:p>
    <w:p w:rsidR="00C2366E" w:rsidRPr="00C2366E" w:rsidRDefault="00C2366E" w:rsidP="00C2366E">
      <w:pPr>
        <w:ind w:right="-389"/>
        <w:rPr>
          <w:rFonts w:ascii="Arial" w:hAnsi="Arial" w:cs="Arial"/>
          <w:sz w:val="22"/>
          <w:szCs w:val="22"/>
        </w:rPr>
      </w:pPr>
    </w:p>
    <w:p w:rsidR="00C2366E" w:rsidRPr="00C2366E" w:rsidRDefault="00C2366E" w:rsidP="00C2366E">
      <w:pPr>
        <w:ind w:right="-389"/>
        <w:rPr>
          <w:rFonts w:ascii="Arial" w:hAnsi="Arial" w:cs="Arial"/>
          <w:sz w:val="22"/>
          <w:szCs w:val="22"/>
        </w:rPr>
      </w:pPr>
    </w:p>
    <w:p w:rsidR="00C2366E" w:rsidRPr="00C2366E" w:rsidRDefault="00C2366E" w:rsidP="00C2366E">
      <w:pPr>
        <w:ind w:right="-389"/>
        <w:rPr>
          <w:rFonts w:ascii="Arial" w:hAnsi="Arial" w:cs="Arial"/>
          <w:sz w:val="22"/>
          <w:szCs w:val="22"/>
        </w:rPr>
      </w:pPr>
    </w:p>
    <w:p w:rsidR="00C2366E" w:rsidRPr="00C2366E" w:rsidRDefault="00C2366E" w:rsidP="00C2366E">
      <w:pPr>
        <w:ind w:right="-389"/>
        <w:rPr>
          <w:rFonts w:ascii="Arial" w:hAnsi="Arial" w:cs="Arial"/>
          <w:sz w:val="22"/>
          <w:szCs w:val="22"/>
        </w:rPr>
      </w:pPr>
    </w:p>
    <w:p w:rsidR="00C2366E" w:rsidRPr="00C2366E" w:rsidRDefault="00C2366E" w:rsidP="00C2366E">
      <w:pPr>
        <w:ind w:right="-389"/>
        <w:rPr>
          <w:rFonts w:ascii="Arial" w:hAnsi="Arial" w:cs="Arial"/>
          <w:sz w:val="22"/>
          <w:szCs w:val="22"/>
        </w:rPr>
      </w:pPr>
    </w:p>
    <w:p w:rsidR="009F196D" w:rsidRPr="00C2366E" w:rsidRDefault="009F196D" w:rsidP="00CD613B">
      <w:pPr>
        <w:rPr>
          <w:sz w:val="22"/>
          <w:szCs w:val="22"/>
        </w:rPr>
      </w:pPr>
    </w:p>
    <w:p w:rsidR="00C2366E" w:rsidRPr="00C2366E" w:rsidRDefault="00C2366E">
      <w:pPr>
        <w:rPr>
          <w:sz w:val="22"/>
          <w:szCs w:val="22"/>
        </w:rPr>
      </w:pPr>
    </w:p>
    <w:sectPr w:rsidR="00C2366E" w:rsidRPr="00C2366E"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575" w:rsidRDefault="009A3575">
      <w:r>
        <w:separator/>
      </w:r>
    </w:p>
  </w:endnote>
  <w:endnote w:type="continuationSeparator" w:id="0">
    <w:p w:rsidR="009A3575" w:rsidRDefault="009A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575" w:rsidRDefault="009A3575">
      <w:r>
        <w:separator/>
      </w:r>
    </w:p>
  </w:footnote>
  <w:footnote w:type="continuationSeparator" w:id="0">
    <w:p w:rsidR="009A3575" w:rsidRDefault="009A3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A3575"/>
    <w:rsid w:val="009F196D"/>
    <w:rsid w:val="00A9035B"/>
    <w:rsid w:val="00C2366E"/>
    <w:rsid w:val="00CD613B"/>
    <w:rsid w:val="00F71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C2366E"/>
    <w:pPr>
      <w:keepNext/>
      <w:spacing w:before="240" w:after="60"/>
      <w:outlineLvl w:val="0"/>
    </w:pPr>
    <w:rPr>
      <w:rFonts w:ascii="Arial" w:hAnsi="Arial" w:cs="Arial"/>
      <w:b/>
      <w:bCs/>
      <w:kern w:val="32"/>
      <w:sz w:val="32"/>
      <w:szCs w:val="3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rsid w:val="00C2366E"/>
    <w:rPr>
      <w:rFonts w:ascii="Arial" w:hAnsi="Arial" w:cs="Arial"/>
      <w:b/>
      <w:bCs/>
      <w:kern w:val="32"/>
      <w:sz w:val="32"/>
      <w:szCs w:val="32"/>
    </w:rPr>
  </w:style>
  <w:style w:type="paragraph" w:styleId="Recuodecorpodetexto2">
    <w:name w:val="Body Text Indent 2"/>
    <w:basedOn w:val="Normal"/>
    <w:link w:val="Recuodecorpodetexto2Char"/>
    <w:rsid w:val="00C2366E"/>
    <w:pPr>
      <w:ind w:firstLine="748"/>
      <w:jc w:val="both"/>
    </w:pPr>
    <w:rPr>
      <w:sz w:val="24"/>
      <w:szCs w:val="24"/>
    </w:rPr>
  </w:style>
  <w:style w:type="character" w:customStyle="1" w:styleId="Recuodecorpodetexto2Char">
    <w:name w:val="Recuo de corpo de texto 2 Char"/>
    <w:basedOn w:val="Fontepargpadro"/>
    <w:link w:val="Recuodecorpodetexto2"/>
    <w:rsid w:val="00C2366E"/>
    <w:rPr>
      <w:sz w:val="24"/>
      <w:szCs w:val="24"/>
    </w:rPr>
  </w:style>
  <w:style w:type="paragraph" w:styleId="Ttulo">
    <w:name w:val="Title"/>
    <w:basedOn w:val="Normal"/>
    <w:link w:val="TtuloChar"/>
    <w:qFormat/>
    <w:rsid w:val="00C2366E"/>
    <w:pPr>
      <w:jc w:val="center"/>
    </w:pPr>
    <w:rPr>
      <w:b/>
      <w:bCs/>
      <w:i/>
      <w:iCs/>
      <w:sz w:val="28"/>
      <w:szCs w:val="24"/>
    </w:rPr>
  </w:style>
  <w:style w:type="character" w:customStyle="1" w:styleId="TtuloChar">
    <w:name w:val="Título Char"/>
    <w:basedOn w:val="Fontepargpadro"/>
    <w:link w:val="Ttulo"/>
    <w:rsid w:val="00C2366E"/>
    <w:rPr>
      <w:b/>
      <w:bCs/>
      <w:i/>
      <w:iCs/>
      <w:sz w:val="28"/>
      <w:szCs w:val="24"/>
    </w:rPr>
  </w:style>
  <w:style w:type="paragraph" w:styleId="NormalWeb">
    <w:name w:val="Normal (Web)"/>
    <w:basedOn w:val="Normal"/>
    <w:rsid w:val="00C2366E"/>
    <w:pPr>
      <w:spacing w:before="100" w:beforeAutospacing="1" w:after="100" w:afterAutospacing="1"/>
    </w:pPr>
    <w:rPr>
      <w:sz w:val="24"/>
      <w:szCs w:val="24"/>
    </w:rPr>
  </w:style>
  <w:style w:type="paragraph" w:styleId="Corpodetexto">
    <w:name w:val="Body Text"/>
    <w:basedOn w:val="Normal"/>
    <w:link w:val="CorpodetextoChar"/>
    <w:rsid w:val="00C2366E"/>
    <w:pPr>
      <w:spacing w:after="120"/>
    </w:pPr>
    <w:rPr>
      <w:sz w:val="24"/>
      <w:szCs w:val="24"/>
    </w:rPr>
  </w:style>
  <w:style w:type="character" w:customStyle="1" w:styleId="CorpodetextoChar">
    <w:name w:val="Corpo de texto Char"/>
    <w:basedOn w:val="Fontepargpadro"/>
    <w:link w:val="Corpodetexto"/>
    <w:rsid w:val="00C236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F1886-B3C4-4406-84CC-97FEC4AB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2453</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