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FB" w:rsidRDefault="00586BFB" w:rsidP="00586BFB">
      <w:pPr>
        <w:jc w:val="center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p w:rsidR="00586BFB" w:rsidRPr="00030B4B" w:rsidRDefault="00586BFB" w:rsidP="00586BFB">
      <w:pPr>
        <w:jc w:val="center"/>
        <w:rPr>
          <w:rFonts w:ascii="Tahoma" w:hAnsi="Tahoma" w:cs="Tahoma"/>
          <w:b/>
          <w:sz w:val="22"/>
          <w:szCs w:val="22"/>
        </w:rPr>
      </w:pPr>
      <w:r w:rsidRPr="00030B4B">
        <w:rPr>
          <w:rFonts w:ascii="Tahoma" w:hAnsi="Tahoma" w:cs="Tahoma"/>
          <w:b/>
          <w:sz w:val="22"/>
          <w:szCs w:val="22"/>
        </w:rPr>
        <w:t xml:space="preserve">PROJETO DE LEI COMPLEMENTAR Nº </w:t>
      </w:r>
      <w:r>
        <w:rPr>
          <w:rFonts w:ascii="Tahoma" w:hAnsi="Tahoma" w:cs="Tahoma"/>
          <w:b/>
          <w:sz w:val="22"/>
          <w:szCs w:val="22"/>
        </w:rPr>
        <w:t>08</w:t>
      </w:r>
      <w:r w:rsidRPr="00030B4B">
        <w:rPr>
          <w:rFonts w:ascii="Tahoma" w:hAnsi="Tahoma" w:cs="Tahoma"/>
          <w:b/>
          <w:sz w:val="22"/>
          <w:szCs w:val="22"/>
        </w:rPr>
        <w:t>/2012</w:t>
      </w:r>
    </w:p>
    <w:p w:rsidR="00586BFB" w:rsidRPr="00030B4B" w:rsidRDefault="00586BFB" w:rsidP="00586BFB">
      <w:pPr>
        <w:rPr>
          <w:rFonts w:ascii="Tahoma" w:hAnsi="Tahoma" w:cs="Tahoma"/>
          <w:sz w:val="22"/>
          <w:szCs w:val="22"/>
        </w:rPr>
      </w:pPr>
    </w:p>
    <w:p w:rsidR="00586BFB" w:rsidRPr="00030B4B" w:rsidRDefault="00586BFB" w:rsidP="00586BFB">
      <w:pPr>
        <w:spacing w:line="320" w:lineRule="exact"/>
        <w:rPr>
          <w:rFonts w:ascii="Tahoma" w:hAnsi="Tahoma" w:cs="Tahoma"/>
          <w:sz w:val="22"/>
          <w:szCs w:val="22"/>
        </w:rPr>
      </w:pPr>
    </w:p>
    <w:p w:rsidR="00586BFB" w:rsidRPr="00030B4B" w:rsidRDefault="00586BFB" w:rsidP="00586BFB">
      <w:pPr>
        <w:spacing w:line="320" w:lineRule="exact"/>
        <w:ind w:left="4956"/>
        <w:jc w:val="both"/>
        <w:rPr>
          <w:rFonts w:ascii="Tahoma" w:hAnsi="Tahoma" w:cs="Tahoma"/>
          <w:b/>
          <w:sz w:val="22"/>
          <w:szCs w:val="22"/>
        </w:rPr>
      </w:pPr>
      <w:r w:rsidRPr="00030B4B">
        <w:rPr>
          <w:rFonts w:ascii="Tahoma" w:hAnsi="Tahoma" w:cs="Tahoma"/>
          <w:b/>
          <w:sz w:val="22"/>
          <w:szCs w:val="22"/>
        </w:rPr>
        <w:t>“Altera a redação do artigo 11 da Lei Complementar Municipal nº 58, de 29 de outubro de 2009 e dá outras providências”.</w:t>
      </w:r>
    </w:p>
    <w:p w:rsidR="00586BFB" w:rsidRPr="00030B4B" w:rsidRDefault="00586BFB" w:rsidP="00586BFB">
      <w:pPr>
        <w:spacing w:line="320" w:lineRule="exact"/>
        <w:jc w:val="both"/>
        <w:rPr>
          <w:rFonts w:ascii="Tahoma" w:hAnsi="Tahoma" w:cs="Tahoma"/>
          <w:b/>
          <w:sz w:val="22"/>
          <w:szCs w:val="22"/>
        </w:rPr>
      </w:pPr>
    </w:p>
    <w:p w:rsidR="00586BFB" w:rsidRPr="00030B4B" w:rsidRDefault="00586BFB" w:rsidP="00586BFB">
      <w:pPr>
        <w:spacing w:line="320" w:lineRule="exact"/>
        <w:ind w:firstLine="720"/>
        <w:jc w:val="both"/>
        <w:rPr>
          <w:rFonts w:ascii="Tahoma" w:hAnsi="Tahoma" w:cs="Tahoma"/>
          <w:sz w:val="22"/>
          <w:szCs w:val="22"/>
        </w:rPr>
      </w:pPr>
    </w:p>
    <w:p w:rsidR="00586BFB" w:rsidRPr="00030B4B" w:rsidRDefault="00586BFB" w:rsidP="00586BFB">
      <w:pPr>
        <w:pStyle w:val="Cabealho"/>
        <w:spacing w:line="320" w:lineRule="exact"/>
        <w:jc w:val="both"/>
        <w:rPr>
          <w:rFonts w:ascii="Tahoma" w:hAnsi="Tahoma" w:cs="Tahoma"/>
          <w:sz w:val="22"/>
          <w:szCs w:val="22"/>
        </w:rPr>
      </w:pPr>
      <w:r w:rsidRPr="00030B4B">
        <w:rPr>
          <w:rFonts w:ascii="Tahoma" w:hAnsi="Tahoma" w:cs="Tahoma"/>
          <w:b/>
          <w:bCs/>
          <w:sz w:val="22"/>
          <w:szCs w:val="22"/>
        </w:rPr>
        <w:t>Artigo 1º -</w:t>
      </w:r>
      <w:r w:rsidRPr="00030B4B">
        <w:rPr>
          <w:rFonts w:ascii="Tahoma" w:hAnsi="Tahoma" w:cs="Tahoma"/>
          <w:sz w:val="22"/>
          <w:szCs w:val="22"/>
        </w:rPr>
        <w:t xml:space="preserve"> O “caput” do artigo 11 da Lei Complementar Municipal nº 58, de 29 de outubro de 2009, passa a vigorar com a seguinte redação:</w:t>
      </w:r>
    </w:p>
    <w:p w:rsidR="00586BFB" w:rsidRPr="00030B4B" w:rsidRDefault="00586BFB" w:rsidP="00586BFB">
      <w:pPr>
        <w:pStyle w:val="Cabealho"/>
        <w:spacing w:line="320" w:lineRule="exact"/>
        <w:jc w:val="both"/>
        <w:rPr>
          <w:rFonts w:ascii="Tahoma" w:hAnsi="Tahoma" w:cs="Tahoma"/>
          <w:sz w:val="22"/>
          <w:szCs w:val="22"/>
        </w:rPr>
      </w:pPr>
    </w:p>
    <w:p w:rsidR="00586BFB" w:rsidRPr="00030B4B" w:rsidRDefault="00586BFB" w:rsidP="00586BFB">
      <w:pPr>
        <w:pStyle w:val="Cabealho"/>
        <w:spacing w:line="320" w:lineRule="exact"/>
        <w:ind w:left="3060"/>
        <w:jc w:val="both"/>
        <w:rPr>
          <w:rFonts w:ascii="Tahoma" w:hAnsi="Tahoma" w:cs="Tahoma"/>
          <w:b/>
          <w:sz w:val="22"/>
          <w:szCs w:val="22"/>
        </w:rPr>
      </w:pPr>
      <w:r w:rsidRPr="00030B4B">
        <w:rPr>
          <w:rFonts w:ascii="Tahoma" w:hAnsi="Tahoma" w:cs="Tahoma"/>
          <w:b/>
          <w:sz w:val="22"/>
          <w:szCs w:val="22"/>
        </w:rPr>
        <w:t>Artigo 11 – A nomeação para os cargos em comissão e a designação para função de confiança é de competência do presidente da Câmara, sendo que, para tanto, não poderá nomear aqueles contra os quais existirem:</w:t>
      </w:r>
    </w:p>
    <w:p w:rsidR="00586BFB" w:rsidRPr="00030B4B" w:rsidRDefault="00586BFB" w:rsidP="00586BFB">
      <w:pPr>
        <w:pStyle w:val="Cabealho"/>
        <w:spacing w:line="320" w:lineRule="exact"/>
        <w:jc w:val="both"/>
        <w:rPr>
          <w:rFonts w:ascii="Tahoma" w:hAnsi="Tahoma" w:cs="Tahoma"/>
          <w:b/>
          <w:sz w:val="22"/>
          <w:szCs w:val="22"/>
        </w:rPr>
      </w:pPr>
    </w:p>
    <w:p w:rsidR="00586BFB" w:rsidRPr="00030B4B" w:rsidRDefault="00586BFB" w:rsidP="00586BFB">
      <w:pPr>
        <w:pStyle w:val="Cabealho"/>
        <w:spacing w:line="320" w:lineRule="exact"/>
        <w:jc w:val="both"/>
        <w:rPr>
          <w:rFonts w:ascii="Tahoma" w:hAnsi="Tahoma" w:cs="Tahoma"/>
          <w:sz w:val="22"/>
          <w:szCs w:val="22"/>
        </w:rPr>
      </w:pPr>
      <w:r w:rsidRPr="00307EFC">
        <w:rPr>
          <w:rFonts w:ascii="Tahoma" w:hAnsi="Tahoma" w:cs="Tahoma"/>
          <w:b/>
          <w:sz w:val="22"/>
          <w:szCs w:val="22"/>
        </w:rPr>
        <w:t>Artigo 2º -</w:t>
      </w:r>
      <w:r w:rsidRPr="00030B4B">
        <w:rPr>
          <w:rFonts w:ascii="Tahoma" w:hAnsi="Tahoma" w:cs="Tahoma"/>
          <w:sz w:val="22"/>
          <w:szCs w:val="22"/>
        </w:rPr>
        <w:t xml:space="preserve"> Ficam acrescidos os incisos I e II ao artigo 11 da Lei Complementar Municipal nº 58/2209, que passam a vigorar com as seguintes redações:</w:t>
      </w:r>
    </w:p>
    <w:p w:rsidR="00586BFB" w:rsidRPr="00030B4B" w:rsidRDefault="00586BFB" w:rsidP="00586BFB">
      <w:pPr>
        <w:pStyle w:val="Cabealho"/>
        <w:spacing w:line="320" w:lineRule="exact"/>
        <w:jc w:val="both"/>
        <w:rPr>
          <w:rFonts w:ascii="Tahoma" w:hAnsi="Tahoma" w:cs="Tahoma"/>
          <w:sz w:val="22"/>
          <w:szCs w:val="22"/>
        </w:rPr>
      </w:pPr>
    </w:p>
    <w:p w:rsidR="00586BFB" w:rsidRDefault="00586BFB" w:rsidP="00586BFB">
      <w:pPr>
        <w:pStyle w:val="Cabealho"/>
        <w:spacing w:line="320" w:lineRule="exact"/>
        <w:ind w:left="3060"/>
        <w:jc w:val="both"/>
        <w:rPr>
          <w:rFonts w:ascii="Tahoma" w:hAnsi="Tahoma" w:cs="Tahoma"/>
          <w:b/>
          <w:sz w:val="22"/>
          <w:szCs w:val="22"/>
        </w:rPr>
      </w:pPr>
      <w:r w:rsidRPr="00030B4B">
        <w:rPr>
          <w:rFonts w:ascii="Tahoma" w:hAnsi="Tahoma" w:cs="Tahoma"/>
          <w:b/>
          <w:sz w:val="22"/>
          <w:szCs w:val="22"/>
        </w:rPr>
        <w:t>I – Sentença criminal transitada em julgado e/ou,</w:t>
      </w:r>
    </w:p>
    <w:p w:rsidR="00586BFB" w:rsidRPr="00030B4B" w:rsidRDefault="00586BFB" w:rsidP="00586BFB">
      <w:pPr>
        <w:pStyle w:val="Cabealho"/>
        <w:spacing w:line="320" w:lineRule="exact"/>
        <w:ind w:left="3060"/>
        <w:jc w:val="both"/>
        <w:rPr>
          <w:rFonts w:ascii="Tahoma" w:hAnsi="Tahoma" w:cs="Tahoma"/>
          <w:b/>
          <w:sz w:val="22"/>
          <w:szCs w:val="22"/>
        </w:rPr>
      </w:pPr>
    </w:p>
    <w:p w:rsidR="00586BFB" w:rsidRPr="00030B4B" w:rsidRDefault="00586BFB" w:rsidP="00586BFB">
      <w:pPr>
        <w:pStyle w:val="Cabealho"/>
        <w:spacing w:line="320" w:lineRule="exact"/>
        <w:ind w:left="3060"/>
        <w:jc w:val="both"/>
        <w:rPr>
          <w:rFonts w:ascii="Tahoma" w:hAnsi="Tahoma" w:cs="Tahoma"/>
          <w:b/>
          <w:sz w:val="22"/>
          <w:szCs w:val="22"/>
        </w:rPr>
      </w:pPr>
      <w:r w:rsidRPr="00030B4B">
        <w:rPr>
          <w:rFonts w:ascii="Tahoma" w:hAnsi="Tahoma" w:cs="Tahoma"/>
          <w:b/>
          <w:sz w:val="22"/>
          <w:szCs w:val="22"/>
        </w:rPr>
        <w:t>II – Sentença judicial irrecorrível por ato de improbidade administrativa.</w:t>
      </w:r>
    </w:p>
    <w:p w:rsidR="00586BFB" w:rsidRPr="00030B4B" w:rsidRDefault="00586BFB" w:rsidP="00586BFB">
      <w:pPr>
        <w:pStyle w:val="Cabealho"/>
        <w:spacing w:line="320" w:lineRule="exact"/>
        <w:jc w:val="both"/>
        <w:rPr>
          <w:rFonts w:ascii="Tahoma" w:hAnsi="Tahoma" w:cs="Tahoma"/>
          <w:b/>
          <w:sz w:val="22"/>
          <w:szCs w:val="22"/>
        </w:rPr>
      </w:pPr>
    </w:p>
    <w:p w:rsidR="00586BFB" w:rsidRPr="00030B4B" w:rsidRDefault="00586BFB" w:rsidP="00586BFB">
      <w:pPr>
        <w:pStyle w:val="Cabealho"/>
        <w:spacing w:line="320" w:lineRule="exact"/>
        <w:jc w:val="both"/>
        <w:rPr>
          <w:rFonts w:ascii="Tahoma" w:hAnsi="Tahoma" w:cs="Tahoma"/>
          <w:sz w:val="22"/>
          <w:szCs w:val="22"/>
        </w:rPr>
      </w:pPr>
      <w:r w:rsidRPr="00030B4B">
        <w:rPr>
          <w:rFonts w:ascii="Tahoma" w:hAnsi="Tahoma" w:cs="Tahoma"/>
          <w:b/>
          <w:sz w:val="22"/>
          <w:szCs w:val="22"/>
        </w:rPr>
        <w:t>Artigo 3º -</w:t>
      </w:r>
      <w:r w:rsidRPr="00030B4B">
        <w:rPr>
          <w:rFonts w:ascii="Tahoma" w:hAnsi="Tahoma" w:cs="Tahoma"/>
          <w:sz w:val="22"/>
          <w:szCs w:val="22"/>
        </w:rPr>
        <w:t xml:space="preserve"> Esta lei entra em vigor na data de sua publicação, revogando-se as disposições contrárias.</w:t>
      </w:r>
    </w:p>
    <w:p w:rsidR="00586BFB" w:rsidRPr="00030B4B" w:rsidRDefault="00586BFB" w:rsidP="00586BFB">
      <w:pPr>
        <w:pStyle w:val="Cabealho"/>
        <w:spacing w:line="320" w:lineRule="exact"/>
        <w:ind w:firstLine="720"/>
        <w:jc w:val="both"/>
        <w:rPr>
          <w:rFonts w:ascii="Tahoma" w:hAnsi="Tahoma" w:cs="Tahoma"/>
          <w:sz w:val="22"/>
          <w:szCs w:val="22"/>
        </w:rPr>
      </w:pPr>
    </w:p>
    <w:p w:rsidR="00586BFB" w:rsidRPr="00030B4B" w:rsidRDefault="00586BFB" w:rsidP="00586BFB">
      <w:pPr>
        <w:spacing w:line="320" w:lineRule="exact"/>
        <w:ind w:firstLine="720"/>
        <w:jc w:val="both"/>
        <w:rPr>
          <w:rFonts w:ascii="Tahoma" w:hAnsi="Tahoma" w:cs="Tahoma"/>
          <w:sz w:val="22"/>
          <w:szCs w:val="22"/>
        </w:rPr>
      </w:pPr>
    </w:p>
    <w:p w:rsidR="00586BFB" w:rsidRPr="00030B4B" w:rsidRDefault="00586BFB" w:rsidP="00586BFB">
      <w:pPr>
        <w:spacing w:line="320" w:lineRule="exact"/>
        <w:jc w:val="center"/>
        <w:rPr>
          <w:rFonts w:ascii="Tahoma" w:hAnsi="Tahoma" w:cs="Tahoma"/>
          <w:sz w:val="22"/>
          <w:szCs w:val="22"/>
        </w:rPr>
      </w:pPr>
      <w:r w:rsidRPr="00030B4B">
        <w:rPr>
          <w:rFonts w:ascii="Tahoma" w:hAnsi="Tahoma" w:cs="Tahoma"/>
          <w:sz w:val="22"/>
          <w:szCs w:val="22"/>
        </w:rPr>
        <w:t>Plenário Dr. Tancredo Neves, 2</w:t>
      </w:r>
      <w:r>
        <w:rPr>
          <w:rFonts w:ascii="Tahoma" w:hAnsi="Tahoma" w:cs="Tahoma"/>
          <w:sz w:val="22"/>
          <w:szCs w:val="22"/>
        </w:rPr>
        <w:t>8</w:t>
      </w:r>
      <w:r w:rsidRPr="00030B4B">
        <w:rPr>
          <w:rFonts w:ascii="Tahoma" w:hAnsi="Tahoma" w:cs="Tahoma"/>
          <w:sz w:val="22"/>
          <w:szCs w:val="22"/>
        </w:rPr>
        <w:t xml:space="preserve"> de fevereiro de 2012.</w:t>
      </w:r>
    </w:p>
    <w:p w:rsidR="00586BFB" w:rsidRPr="00030B4B" w:rsidRDefault="00586BFB" w:rsidP="00586BFB">
      <w:pPr>
        <w:spacing w:line="320" w:lineRule="exact"/>
        <w:jc w:val="center"/>
        <w:rPr>
          <w:rFonts w:ascii="Tahoma" w:hAnsi="Tahoma" w:cs="Tahoma"/>
          <w:sz w:val="22"/>
          <w:szCs w:val="22"/>
        </w:rPr>
      </w:pPr>
    </w:p>
    <w:p w:rsidR="00586BFB" w:rsidRDefault="00586BFB" w:rsidP="00586BFB">
      <w:pPr>
        <w:spacing w:line="320" w:lineRule="exact"/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8"/>
        <w:gridCol w:w="4373"/>
      </w:tblGrid>
      <w:tr w:rsidR="00586BFB" w:rsidRPr="00210CD1"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6BFB" w:rsidRPr="00210CD1" w:rsidRDefault="00586BFB" w:rsidP="00734F23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ahoma" w:eastAsia="MS Mincho" w:hAnsi="Tahoma" w:cs="Tahoma"/>
                <w:b/>
                <w:sz w:val="22"/>
                <w:szCs w:val="22"/>
              </w:rPr>
            </w:pPr>
            <w:r w:rsidRPr="00210CD1">
              <w:rPr>
                <w:rFonts w:ascii="Tahoma" w:eastAsia="MS Mincho" w:hAnsi="Tahoma" w:cs="Tahoma"/>
                <w:b/>
                <w:sz w:val="22"/>
                <w:szCs w:val="22"/>
              </w:rPr>
              <w:t>Edison Carlos Bortolucci Júnior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6BFB" w:rsidRPr="00210CD1" w:rsidRDefault="00586BFB" w:rsidP="00734F23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ahoma" w:eastAsia="MS Mincho" w:hAnsi="Tahoma" w:cs="Tahoma"/>
                <w:b/>
                <w:sz w:val="22"/>
                <w:szCs w:val="22"/>
              </w:rPr>
            </w:pPr>
            <w:r w:rsidRPr="00210CD1">
              <w:rPr>
                <w:rFonts w:ascii="Tahoma" w:eastAsia="MS Mincho" w:hAnsi="Tahoma" w:cs="Tahoma"/>
                <w:b/>
                <w:sz w:val="22"/>
                <w:szCs w:val="22"/>
              </w:rPr>
              <w:t>Anízio Tavares da Silva</w:t>
            </w:r>
          </w:p>
        </w:tc>
      </w:tr>
    </w:tbl>
    <w:p w:rsidR="00586BFB" w:rsidRDefault="00586BFB" w:rsidP="00586BFB">
      <w:pPr>
        <w:widowControl w:val="0"/>
        <w:autoSpaceDE w:val="0"/>
        <w:autoSpaceDN w:val="0"/>
        <w:adjustRightInd w:val="0"/>
        <w:spacing w:line="310" w:lineRule="exact"/>
        <w:jc w:val="both"/>
        <w:rPr>
          <w:rFonts w:ascii="Tahoma" w:hAnsi="Tahoma" w:cs="Tahoma"/>
          <w:b/>
          <w:sz w:val="22"/>
          <w:szCs w:val="22"/>
        </w:rPr>
      </w:pPr>
    </w:p>
    <w:p w:rsidR="00586BFB" w:rsidRDefault="00586BFB" w:rsidP="00586BFB">
      <w:pPr>
        <w:spacing w:line="320" w:lineRule="exact"/>
        <w:jc w:val="center"/>
        <w:rPr>
          <w:rFonts w:ascii="Tahoma" w:hAnsi="Tahoma" w:cs="Tahoma"/>
          <w:sz w:val="22"/>
          <w:szCs w:val="22"/>
        </w:rPr>
      </w:pPr>
    </w:p>
    <w:p w:rsidR="00586BFB" w:rsidRDefault="00586BFB" w:rsidP="00586BFB">
      <w:pPr>
        <w:spacing w:line="320" w:lineRule="exact"/>
        <w:jc w:val="center"/>
        <w:rPr>
          <w:rFonts w:ascii="Tahoma" w:hAnsi="Tahoma" w:cs="Tahoma"/>
          <w:sz w:val="22"/>
          <w:szCs w:val="22"/>
        </w:rPr>
      </w:pPr>
    </w:p>
    <w:p w:rsidR="00586BFB" w:rsidRPr="00030B4B" w:rsidRDefault="00586BFB" w:rsidP="00586BFB">
      <w:pPr>
        <w:spacing w:line="320" w:lineRule="exact"/>
        <w:jc w:val="center"/>
        <w:rPr>
          <w:rFonts w:ascii="Tahoma" w:hAnsi="Tahoma" w:cs="Tahoma"/>
          <w:sz w:val="22"/>
          <w:szCs w:val="22"/>
        </w:rPr>
      </w:pPr>
    </w:p>
    <w:p w:rsidR="00586BFB" w:rsidRPr="00030B4B" w:rsidRDefault="00586BFB" w:rsidP="00586BFB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030B4B">
        <w:rPr>
          <w:rFonts w:ascii="Tahoma" w:hAnsi="Tahoma" w:cs="Tahoma"/>
          <w:b/>
          <w:sz w:val="22"/>
          <w:szCs w:val="22"/>
        </w:rPr>
        <w:t xml:space="preserve"> (Folha 02 – Projeto de Lei Complementar nº </w:t>
      </w:r>
      <w:r>
        <w:rPr>
          <w:rFonts w:ascii="Tahoma" w:hAnsi="Tahoma" w:cs="Tahoma"/>
          <w:b/>
          <w:sz w:val="22"/>
          <w:szCs w:val="22"/>
        </w:rPr>
        <w:t>08</w:t>
      </w:r>
      <w:r w:rsidRPr="00030B4B">
        <w:rPr>
          <w:rFonts w:ascii="Tahoma" w:hAnsi="Tahoma" w:cs="Tahoma"/>
          <w:b/>
          <w:sz w:val="22"/>
          <w:szCs w:val="22"/>
        </w:rPr>
        <w:t>/2012).</w:t>
      </w:r>
    </w:p>
    <w:p w:rsidR="00586BFB" w:rsidRPr="00030B4B" w:rsidRDefault="00586BFB" w:rsidP="00586BF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586BFB" w:rsidRPr="00030B4B" w:rsidRDefault="00586BFB" w:rsidP="00586BF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586BFB" w:rsidRPr="00030B4B" w:rsidRDefault="00586BFB" w:rsidP="00586BFB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030B4B">
        <w:rPr>
          <w:rFonts w:ascii="Tahoma" w:hAnsi="Tahoma" w:cs="Tahoma"/>
          <w:b/>
          <w:bCs/>
          <w:sz w:val="22"/>
          <w:szCs w:val="22"/>
        </w:rPr>
        <w:t>JUSTIFICATIVA</w:t>
      </w:r>
    </w:p>
    <w:p w:rsidR="00586BFB" w:rsidRPr="00030B4B" w:rsidRDefault="00586BFB" w:rsidP="00586BFB">
      <w:pPr>
        <w:ind w:firstLine="720"/>
        <w:jc w:val="both"/>
        <w:rPr>
          <w:rFonts w:ascii="Tahoma" w:hAnsi="Tahoma" w:cs="Tahoma"/>
          <w:b/>
          <w:bCs/>
          <w:sz w:val="22"/>
          <w:szCs w:val="22"/>
        </w:rPr>
      </w:pPr>
    </w:p>
    <w:p w:rsidR="00586BFB" w:rsidRPr="00030B4B" w:rsidRDefault="00586BFB" w:rsidP="00586BFB">
      <w:pPr>
        <w:ind w:firstLine="720"/>
        <w:jc w:val="both"/>
        <w:rPr>
          <w:rFonts w:ascii="Tahoma" w:hAnsi="Tahoma" w:cs="Tahoma"/>
          <w:b/>
          <w:bCs/>
          <w:sz w:val="22"/>
          <w:szCs w:val="22"/>
        </w:rPr>
      </w:pPr>
    </w:p>
    <w:p w:rsidR="00586BFB" w:rsidRDefault="00586BFB" w:rsidP="00586BFB">
      <w:pPr>
        <w:widowControl w:val="0"/>
        <w:autoSpaceDE w:val="0"/>
        <w:autoSpaceDN w:val="0"/>
        <w:adjustRightInd w:val="0"/>
        <w:spacing w:line="31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 presente Projeto de Lei Complementar tem como </w:t>
      </w:r>
      <w:r w:rsidRPr="00030B4B">
        <w:rPr>
          <w:rFonts w:ascii="Tahoma" w:hAnsi="Tahoma" w:cs="Tahoma"/>
          <w:sz w:val="22"/>
          <w:szCs w:val="22"/>
        </w:rPr>
        <w:t xml:space="preserve">objetivo alterar a redação do </w:t>
      </w:r>
      <w:r>
        <w:rPr>
          <w:rFonts w:ascii="Tahoma" w:hAnsi="Tahoma" w:cs="Tahoma"/>
          <w:sz w:val="22"/>
          <w:szCs w:val="22"/>
        </w:rPr>
        <w:t>“caput” do artigo 11 da Lei Complementar nº 58/2009, além de acrescentar dois incisos ao mesmo dispositivo.</w:t>
      </w:r>
    </w:p>
    <w:p w:rsidR="00586BFB" w:rsidRDefault="00586BFB" w:rsidP="00586BFB">
      <w:pPr>
        <w:widowControl w:val="0"/>
        <w:autoSpaceDE w:val="0"/>
        <w:autoSpaceDN w:val="0"/>
        <w:adjustRightInd w:val="0"/>
        <w:spacing w:line="310" w:lineRule="exact"/>
        <w:jc w:val="both"/>
        <w:rPr>
          <w:rFonts w:ascii="Tahoma" w:hAnsi="Tahoma" w:cs="Tahoma"/>
          <w:sz w:val="22"/>
          <w:szCs w:val="22"/>
        </w:rPr>
      </w:pPr>
    </w:p>
    <w:p w:rsidR="00586BFB" w:rsidRDefault="00586BFB" w:rsidP="00586BFB">
      <w:pPr>
        <w:widowControl w:val="0"/>
        <w:autoSpaceDE w:val="0"/>
        <w:autoSpaceDN w:val="0"/>
        <w:adjustRightInd w:val="0"/>
        <w:spacing w:line="31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Desta forma, constará do artigo mencionado que o Presidente da Câmara, quando da nomeação de pessoas para os cargos em comissão, somente poderá o fazer se os indicados não forem objetos de sentença criminal transitada em julgado ou sentença judicial irrecorrível por ato de improbidade administrativa.</w:t>
      </w:r>
    </w:p>
    <w:p w:rsidR="00586BFB" w:rsidRDefault="00586BFB" w:rsidP="00586BFB">
      <w:pPr>
        <w:widowControl w:val="0"/>
        <w:autoSpaceDE w:val="0"/>
        <w:autoSpaceDN w:val="0"/>
        <w:adjustRightInd w:val="0"/>
        <w:spacing w:line="31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586BFB" w:rsidRPr="00030B4B" w:rsidRDefault="00586BFB" w:rsidP="00586BFB">
      <w:pPr>
        <w:widowControl w:val="0"/>
        <w:autoSpaceDE w:val="0"/>
        <w:autoSpaceDN w:val="0"/>
        <w:adjustRightInd w:val="0"/>
        <w:spacing w:line="31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Tudo isso para deixar a Lei Complementar nº 58, de 29 de outubro de 2009, que dispõe sobre a estrutura administrativa da Câmara Municipal de Santa Bárbara d’Oeste em </w:t>
      </w:r>
      <w:r w:rsidRPr="00030B4B">
        <w:rPr>
          <w:rFonts w:ascii="Tahoma" w:hAnsi="Tahoma" w:cs="Tahoma"/>
          <w:sz w:val="22"/>
          <w:szCs w:val="22"/>
        </w:rPr>
        <w:t>conformidade com recente decisão do Supremo Tribunal Federal acerca da aplicação da Lei da Ficha Limpa.</w:t>
      </w:r>
    </w:p>
    <w:p w:rsidR="00586BFB" w:rsidRPr="00030B4B" w:rsidRDefault="00586BFB" w:rsidP="00586BFB">
      <w:pPr>
        <w:widowControl w:val="0"/>
        <w:autoSpaceDE w:val="0"/>
        <w:autoSpaceDN w:val="0"/>
        <w:adjustRightInd w:val="0"/>
        <w:spacing w:line="310" w:lineRule="exact"/>
        <w:jc w:val="both"/>
        <w:rPr>
          <w:rFonts w:ascii="Tahoma" w:hAnsi="Tahoma" w:cs="Tahoma"/>
          <w:sz w:val="22"/>
          <w:szCs w:val="22"/>
        </w:rPr>
      </w:pPr>
    </w:p>
    <w:p w:rsidR="00586BFB" w:rsidRPr="00030B4B" w:rsidRDefault="00586BFB" w:rsidP="00586BFB">
      <w:pPr>
        <w:widowControl w:val="0"/>
        <w:autoSpaceDE w:val="0"/>
        <w:autoSpaceDN w:val="0"/>
        <w:adjustRightInd w:val="0"/>
        <w:spacing w:line="310" w:lineRule="exact"/>
        <w:jc w:val="both"/>
        <w:rPr>
          <w:rFonts w:ascii="Tahoma" w:hAnsi="Tahoma" w:cs="Tahoma"/>
          <w:sz w:val="22"/>
          <w:szCs w:val="22"/>
        </w:rPr>
      </w:pPr>
      <w:r w:rsidRPr="00030B4B">
        <w:rPr>
          <w:rFonts w:ascii="Tahoma" w:hAnsi="Tahoma" w:cs="Tahoma"/>
          <w:sz w:val="22"/>
          <w:szCs w:val="22"/>
        </w:rPr>
        <w:t xml:space="preserve">Com isso, as pessoas </w:t>
      </w:r>
      <w:r>
        <w:rPr>
          <w:rFonts w:ascii="Tahoma" w:hAnsi="Tahoma" w:cs="Tahoma"/>
          <w:sz w:val="22"/>
          <w:szCs w:val="22"/>
        </w:rPr>
        <w:t xml:space="preserve">indicadas para cargos em comissão, na esfera da Câmara Municipal, </w:t>
      </w:r>
      <w:r w:rsidRPr="00030B4B">
        <w:rPr>
          <w:rFonts w:ascii="Tahoma" w:hAnsi="Tahoma" w:cs="Tahoma"/>
          <w:sz w:val="22"/>
          <w:szCs w:val="22"/>
        </w:rPr>
        <w:t>somente poderão ser nomeadas se contra eles não existirem sentença criminal transitada em julgado ou sentença judicial irrecorrível por ato de improbidade administrativa, tudo de conformidade com a citada Lei da Ficha Limpa.</w:t>
      </w:r>
    </w:p>
    <w:p w:rsidR="00586BFB" w:rsidRPr="00030B4B" w:rsidRDefault="00586BFB" w:rsidP="00586BFB">
      <w:pPr>
        <w:widowControl w:val="0"/>
        <w:autoSpaceDE w:val="0"/>
        <w:autoSpaceDN w:val="0"/>
        <w:adjustRightInd w:val="0"/>
        <w:spacing w:line="310" w:lineRule="exact"/>
        <w:jc w:val="both"/>
        <w:rPr>
          <w:rFonts w:ascii="Tahoma" w:hAnsi="Tahoma" w:cs="Tahoma"/>
          <w:sz w:val="22"/>
          <w:szCs w:val="22"/>
        </w:rPr>
      </w:pPr>
    </w:p>
    <w:p w:rsidR="00586BFB" w:rsidRPr="00030B4B" w:rsidRDefault="00586BFB" w:rsidP="00586BFB">
      <w:pPr>
        <w:jc w:val="both"/>
        <w:rPr>
          <w:rFonts w:ascii="Tahoma" w:hAnsi="Tahoma" w:cs="Tahoma"/>
          <w:sz w:val="22"/>
          <w:szCs w:val="22"/>
        </w:rPr>
      </w:pPr>
      <w:r w:rsidRPr="00030B4B">
        <w:rPr>
          <w:rFonts w:ascii="Tahoma" w:hAnsi="Tahoma" w:cs="Tahoma"/>
          <w:sz w:val="22"/>
          <w:szCs w:val="22"/>
        </w:rPr>
        <w:t>Assim, esperamos contar com o apoio de todos os Nobres Vereadores desta Casa na aprovação deste importante projeto.</w:t>
      </w:r>
    </w:p>
    <w:p w:rsidR="00586BFB" w:rsidRPr="00030B4B" w:rsidRDefault="00586BFB" w:rsidP="00586BFB">
      <w:pPr>
        <w:jc w:val="both"/>
        <w:rPr>
          <w:rFonts w:ascii="Tahoma" w:hAnsi="Tahoma" w:cs="Tahoma"/>
          <w:sz w:val="22"/>
          <w:szCs w:val="22"/>
        </w:rPr>
      </w:pPr>
    </w:p>
    <w:p w:rsidR="00586BFB" w:rsidRPr="00030B4B" w:rsidRDefault="00586BFB" w:rsidP="00586BFB">
      <w:pPr>
        <w:jc w:val="both"/>
        <w:rPr>
          <w:rFonts w:ascii="Tahoma" w:hAnsi="Tahoma" w:cs="Tahoma"/>
          <w:sz w:val="22"/>
          <w:szCs w:val="22"/>
        </w:rPr>
      </w:pPr>
    </w:p>
    <w:p w:rsidR="00586BFB" w:rsidRPr="00030B4B" w:rsidRDefault="00586BFB" w:rsidP="00586BFB">
      <w:pPr>
        <w:jc w:val="center"/>
        <w:rPr>
          <w:rFonts w:ascii="Tahoma" w:hAnsi="Tahoma" w:cs="Tahoma"/>
          <w:sz w:val="22"/>
          <w:szCs w:val="22"/>
        </w:rPr>
      </w:pPr>
      <w:r w:rsidRPr="00030B4B">
        <w:rPr>
          <w:rFonts w:ascii="Tahoma" w:hAnsi="Tahoma" w:cs="Tahoma"/>
          <w:sz w:val="22"/>
          <w:szCs w:val="22"/>
        </w:rPr>
        <w:t>Plenário Dr. Tancredo Neves, 2</w:t>
      </w:r>
      <w:r>
        <w:rPr>
          <w:rFonts w:ascii="Tahoma" w:hAnsi="Tahoma" w:cs="Tahoma"/>
          <w:sz w:val="22"/>
          <w:szCs w:val="22"/>
        </w:rPr>
        <w:t>8</w:t>
      </w:r>
      <w:r w:rsidRPr="00030B4B">
        <w:rPr>
          <w:rFonts w:ascii="Tahoma" w:hAnsi="Tahoma" w:cs="Tahoma"/>
          <w:sz w:val="22"/>
          <w:szCs w:val="22"/>
        </w:rPr>
        <w:t xml:space="preserve"> de fevereiro de 201</w:t>
      </w:r>
      <w:r>
        <w:rPr>
          <w:rFonts w:ascii="Tahoma" w:hAnsi="Tahoma" w:cs="Tahoma"/>
          <w:sz w:val="22"/>
          <w:szCs w:val="22"/>
        </w:rPr>
        <w:t>2</w:t>
      </w:r>
      <w:r w:rsidRPr="00030B4B">
        <w:rPr>
          <w:rFonts w:ascii="Tahoma" w:hAnsi="Tahoma" w:cs="Tahoma"/>
          <w:sz w:val="22"/>
          <w:szCs w:val="22"/>
        </w:rPr>
        <w:t>.</w:t>
      </w:r>
    </w:p>
    <w:p w:rsidR="00586BFB" w:rsidRPr="00030B4B" w:rsidRDefault="00586BFB" w:rsidP="00586BFB">
      <w:pPr>
        <w:jc w:val="center"/>
        <w:rPr>
          <w:rFonts w:ascii="Tahoma" w:hAnsi="Tahoma" w:cs="Tahoma"/>
          <w:sz w:val="22"/>
          <w:szCs w:val="22"/>
        </w:rPr>
      </w:pPr>
    </w:p>
    <w:p w:rsidR="00586BFB" w:rsidRDefault="00586BFB" w:rsidP="00586BFB">
      <w:pPr>
        <w:jc w:val="center"/>
        <w:rPr>
          <w:rFonts w:ascii="Tahoma" w:hAnsi="Tahoma" w:cs="Tahoma"/>
          <w:sz w:val="22"/>
          <w:szCs w:val="22"/>
        </w:rPr>
      </w:pPr>
    </w:p>
    <w:p w:rsidR="00586BFB" w:rsidRDefault="00586BFB" w:rsidP="00586BFB">
      <w:pPr>
        <w:jc w:val="center"/>
        <w:rPr>
          <w:rFonts w:ascii="Tahoma" w:hAnsi="Tahoma" w:cs="Tahoma"/>
          <w:sz w:val="22"/>
          <w:szCs w:val="22"/>
        </w:rPr>
      </w:pPr>
    </w:p>
    <w:p w:rsidR="00586BFB" w:rsidRPr="00030B4B" w:rsidRDefault="00586BFB" w:rsidP="00586BFB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8"/>
        <w:gridCol w:w="4373"/>
      </w:tblGrid>
      <w:tr w:rsidR="00586BFB" w:rsidRPr="00210CD1"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6BFB" w:rsidRPr="00210CD1" w:rsidRDefault="00586BFB" w:rsidP="00734F23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ahoma" w:eastAsia="MS Mincho" w:hAnsi="Tahoma" w:cs="Tahoma"/>
                <w:b/>
                <w:sz w:val="22"/>
                <w:szCs w:val="22"/>
              </w:rPr>
            </w:pPr>
            <w:r w:rsidRPr="00210CD1">
              <w:rPr>
                <w:rFonts w:ascii="Tahoma" w:eastAsia="MS Mincho" w:hAnsi="Tahoma" w:cs="Tahoma"/>
                <w:b/>
                <w:sz w:val="22"/>
                <w:szCs w:val="22"/>
              </w:rPr>
              <w:t>Edison Carlos Bortolucci Júnior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6BFB" w:rsidRPr="00210CD1" w:rsidRDefault="00586BFB" w:rsidP="00734F23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ahoma" w:eastAsia="MS Mincho" w:hAnsi="Tahoma" w:cs="Tahoma"/>
                <w:b/>
                <w:sz w:val="22"/>
                <w:szCs w:val="22"/>
              </w:rPr>
            </w:pPr>
            <w:r w:rsidRPr="00210CD1">
              <w:rPr>
                <w:rFonts w:ascii="Tahoma" w:eastAsia="MS Mincho" w:hAnsi="Tahoma" w:cs="Tahoma"/>
                <w:b/>
                <w:sz w:val="22"/>
                <w:szCs w:val="22"/>
              </w:rPr>
              <w:t>Anízio Tavares da Silva</w:t>
            </w:r>
          </w:p>
        </w:tc>
      </w:tr>
    </w:tbl>
    <w:p w:rsidR="00586BFB" w:rsidRPr="00030B4B" w:rsidRDefault="00586BFB" w:rsidP="00586BFB">
      <w:pPr>
        <w:jc w:val="center"/>
        <w:rPr>
          <w:rFonts w:ascii="Tahoma" w:hAnsi="Tahoma" w:cs="Tahoma"/>
          <w:sz w:val="22"/>
          <w:szCs w:val="2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F23" w:rsidRDefault="00734F23">
      <w:r>
        <w:separator/>
      </w:r>
    </w:p>
  </w:endnote>
  <w:endnote w:type="continuationSeparator" w:id="0">
    <w:p w:rsidR="00734F23" w:rsidRDefault="0073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F23" w:rsidRDefault="00734F23">
      <w:r>
        <w:separator/>
      </w:r>
    </w:p>
  </w:footnote>
  <w:footnote w:type="continuationSeparator" w:id="0">
    <w:p w:rsidR="00734F23" w:rsidRDefault="00734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86BFB"/>
    <w:rsid w:val="00734F23"/>
    <w:rsid w:val="00984D4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2020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