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3E" w:rsidRDefault="0069273E" w:rsidP="0069273E">
      <w:bookmarkStart w:id="0" w:name="_GoBack"/>
      <w:bookmarkEnd w:id="0"/>
    </w:p>
    <w:p w:rsidR="0069273E" w:rsidRDefault="0069273E" w:rsidP="0069273E"/>
    <w:p w:rsidR="0069273E" w:rsidRDefault="0069273E" w:rsidP="0069273E"/>
    <w:p w:rsidR="0069273E" w:rsidRDefault="0069273E" w:rsidP="0069273E"/>
    <w:p w:rsidR="0069273E" w:rsidRPr="00EC0E5E" w:rsidRDefault="0069273E" w:rsidP="0069273E">
      <w:pPr>
        <w:tabs>
          <w:tab w:val="left" w:pos="2461"/>
        </w:tabs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SUBSTITUTIVO AO PROJETO DE LEI  </w:t>
      </w:r>
      <w:r w:rsidRPr="00EC0E5E">
        <w:rPr>
          <w:rFonts w:ascii="Bookman Old Style" w:hAnsi="Bookman Old Style"/>
          <w:b/>
          <w:sz w:val="24"/>
          <w:szCs w:val="24"/>
        </w:rPr>
        <w:t xml:space="preserve">nº  37  </w:t>
      </w:r>
      <w:r w:rsidRPr="00EC0E5E">
        <w:rPr>
          <w:rFonts w:ascii="Bookman Old Style" w:hAnsi="Bookman Old Style" w:cs="Arial"/>
          <w:bCs/>
          <w:sz w:val="24"/>
        </w:rPr>
        <w:t>/</w:t>
      </w:r>
      <w:r w:rsidRPr="00EC0E5E">
        <w:rPr>
          <w:rFonts w:ascii="Bookman Old Style" w:hAnsi="Bookman Old Style"/>
          <w:b/>
          <w:sz w:val="24"/>
          <w:szCs w:val="24"/>
        </w:rPr>
        <w:t xml:space="preserve"> 2009.</w:t>
      </w:r>
    </w:p>
    <w:p w:rsidR="0069273E" w:rsidRPr="00EC0E5E" w:rsidRDefault="0069273E" w:rsidP="0069273E">
      <w:pPr>
        <w:tabs>
          <w:tab w:val="left" w:pos="2461"/>
        </w:tabs>
        <w:ind w:left="2880"/>
        <w:jc w:val="both"/>
        <w:rPr>
          <w:rFonts w:ascii="Bookman Old Style" w:hAnsi="Bookman Old Style"/>
        </w:rPr>
      </w:pPr>
      <w:r w:rsidRPr="00EC0E5E">
        <w:rPr>
          <w:rFonts w:ascii="Bookman Old Style" w:hAnsi="Bookman Old Style"/>
        </w:rPr>
        <w:tab/>
      </w:r>
      <w:r w:rsidRPr="00EC0E5E">
        <w:rPr>
          <w:rFonts w:ascii="Bookman Old Style" w:hAnsi="Bookman Old Style"/>
        </w:rPr>
        <w:tab/>
      </w:r>
    </w:p>
    <w:p w:rsidR="0069273E" w:rsidRPr="00EC0E5E" w:rsidRDefault="0069273E" w:rsidP="0069273E">
      <w:pPr>
        <w:tabs>
          <w:tab w:val="left" w:pos="2461"/>
        </w:tabs>
        <w:ind w:left="2880"/>
        <w:jc w:val="both"/>
        <w:rPr>
          <w:rFonts w:ascii="Bookman Old Style" w:hAnsi="Bookman Old Style"/>
          <w:i/>
          <w:sz w:val="24"/>
          <w:szCs w:val="24"/>
        </w:rPr>
      </w:pPr>
      <w:r w:rsidRPr="00EC0E5E">
        <w:rPr>
          <w:rFonts w:ascii="Bookman Old Style" w:hAnsi="Bookman Old Style"/>
          <w:b/>
          <w:i/>
          <w:sz w:val="24"/>
          <w:szCs w:val="24"/>
        </w:rPr>
        <w:tab/>
      </w:r>
      <w:r w:rsidRPr="00EC0E5E">
        <w:rPr>
          <w:rFonts w:ascii="Bookman Old Style" w:hAnsi="Bookman Old Style"/>
          <w:b/>
          <w:i/>
          <w:sz w:val="24"/>
          <w:szCs w:val="24"/>
        </w:rPr>
        <w:tab/>
        <w:t>“Altera zoneamento das ruas localizadas no bairro Nova Conquista e dá outras providências</w:t>
      </w:r>
      <w:r w:rsidRPr="00EC0E5E">
        <w:rPr>
          <w:rFonts w:ascii="Bookman Old Style" w:hAnsi="Bookman Old Style"/>
          <w:i/>
          <w:sz w:val="24"/>
          <w:szCs w:val="24"/>
        </w:rPr>
        <w:t>”</w:t>
      </w:r>
    </w:p>
    <w:p w:rsidR="0069273E" w:rsidRDefault="0069273E" w:rsidP="0069273E">
      <w:pPr>
        <w:tabs>
          <w:tab w:val="left" w:pos="2461"/>
        </w:tabs>
        <w:jc w:val="both"/>
        <w:rPr>
          <w:rFonts w:ascii="Bookman Old Style" w:hAnsi="Bookman Old Style"/>
          <w:b/>
        </w:rPr>
      </w:pPr>
    </w:p>
    <w:p w:rsidR="0069273E" w:rsidRPr="001B5A9A" w:rsidRDefault="0069273E" w:rsidP="0069273E">
      <w:pPr>
        <w:tabs>
          <w:tab w:val="left" w:pos="2461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</w:rPr>
        <w:tab/>
      </w:r>
      <w:r w:rsidRPr="001B5A9A">
        <w:rPr>
          <w:rFonts w:ascii="Bookman Old Style" w:hAnsi="Bookman Old Style"/>
          <w:sz w:val="24"/>
          <w:szCs w:val="24"/>
        </w:rPr>
        <w:t>A Câmara Municipal de Santa Bárbara d´Oeste decreta;</w:t>
      </w:r>
    </w:p>
    <w:p w:rsidR="0069273E" w:rsidRDefault="0069273E" w:rsidP="0069273E">
      <w:pPr>
        <w:tabs>
          <w:tab w:val="left" w:pos="2461"/>
        </w:tabs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69273E" w:rsidRPr="00EC0E5E" w:rsidRDefault="0069273E" w:rsidP="0069273E">
      <w:pPr>
        <w:tabs>
          <w:tab w:val="left" w:pos="2461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</w:rPr>
        <w:tab/>
      </w:r>
      <w:r w:rsidRPr="00CE12A7">
        <w:rPr>
          <w:rFonts w:ascii="Bookman Old Style" w:hAnsi="Bookman Old Style"/>
          <w:b/>
        </w:rPr>
        <w:t>Art. 1</w:t>
      </w:r>
      <w:r w:rsidRPr="00EC0E5E">
        <w:rPr>
          <w:rFonts w:ascii="Bookman Old Style" w:hAnsi="Bookman Old Style"/>
          <w:b/>
          <w:sz w:val="24"/>
          <w:szCs w:val="24"/>
        </w:rPr>
        <w:t xml:space="preserve">º - </w:t>
      </w:r>
      <w:r w:rsidRPr="00EC0E5E">
        <w:rPr>
          <w:rFonts w:ascii="Bookman Old Style" w:hAnsi="Bookman Old Style"/>
          <w:sz w:val="24"/>
          <w:szCs w:val="24"/>
        </w:rPr>
        <w:t>As ruas localizadas no bairro Nova Conquista, neste município ficam pertencendo ao zoneamento “Zona 04”, com uso e ocupação do solo especificados no artigo 432, da Lei n 2.402</w:t>
      </w:r>
      <w:r w:rsidRPr="00EC0E5E">
        <w:rPr>
          <w:rFonts w:ascii="Bookman Old Style" w:hAnsi="Bookman Old Style" w:cs="Arial"/>
          <w:bCs/>
          <w:sz w:val="24"/>
        </w:rPr>
        <w:t>/</w:t>
      </w:r>
      <w:r w:rsidRPr="00EC0E5E">
        <w:rPr>
          <w:rFonts w:ascii="Bookman Old Style" w:hAnsi="Bookman Old Style"/>
          <w:sz w:val="24"/>
          <w:szCs w:val="24"/>
        </w:rPr>
        <w:t>99 – Código de Obras do Município.</w:t>
      </w:r>
    </w:p>
    <w:p w:rsidR="0069273E" w:rsidRPr="00EC0E5E" w:rsidRDefault="0069273E" w:rsidP="0069273E">
      <w:pPr>
        <w:tabs>
          <w:tab w:val="left" w:pos="2461"/>
          <w:tab w:val="left" w:pos="3031"/>
        </w:tabs>
        <w:jc w:val="both"/>
        <w:rPr>
          <w:rFonts w:ascii="Bookman Old Style" w:hAnsi="Bookman Old Style"/>
          <w:sz w:val="24"/>
          <w:szCs w:val="24"/>
        </w:rPr>
      </w:pPr>
      <w:r w:rsidRPr="00EC0E5E">
        <w:rPr>
          <w:rFonts w:ascii="Bookman Old Style" w:hAnsi="Bookman Old Style"/>
          <w:b/>
          <w:sz w:val="24"/>
          <w:szCs w:val="24"/>
        </w:rPr>
        <w:tab/>
        <w:t xml:space="preserve">Art. 2º - </w:t>
      </w:r>
      <w:r w:rsidRPr="00EC0E5E">
        <w:rPr>
          <w:rFonts w:ascii="Bookman Old Style" w:hAnsi="Bookman Old Style"/>
          <w:sz w:val="24"/>
          <w:szCs w:val="24"/>
        </w:rPr>
        <w:t>Esta lei entrará em vigor na data de sua publicação.</w:t>
      </w:r>
    </w:p>
    <w:p w:rsidR="0069273E" w:rsidRPr="00EC0E5E" w:rsidRDefault="0069273E" w:rsidP="0069273E">
      <w:pPr>
        <w:tabs>
          <w:tab w:val="left" w:pos="2394"/>
          <w:tab w:val="left" w:pos="2461"/>
        </w:tabs>
        <w:jc w:val="both"/>
        <w:rPr>
          <w:rFonts w:ascii="Bookman Old Style" w:hAnsi="Bookman Old Style"/>
          <w:sz w:val="24"/>
          <w:szCs w:val="24"/>
        </w:rPr>
      </w:pPr>
      <w:r w:rsidRPr="00EC0E5E">
        <w:rPr>
          <w:rFonts w:ascii="Bookman Old Style" w:hAnsi="Bookman Old Style"/>
          <w:b/>
          <w:sz w:val="24"/>
          <w:szCs w:val="24"/>
        </w:rPr>
        <w:tab/>
      </w:r>
      <w:r w:rsidRPr="00EC0E5E">
        <w:rPr>
          <w:rFonts w:ascii="Bookman Old Style" w:hAnsi="Bookman Old Style"/>
          <w:b/>
          <w:sz w:val="24"/>
          <w:szCs w:val="24"/>
        </w:rPr>
        <w:tab/>
        <w:t xml:space="preserve">Art. 3º - </w:t>
      </w:r>
      <w:r w:rsidRPr="00EC0E5E">
        <w:rPr>
          <w:rFonts w:ascii="Bookman Old Style" w:hAnsi="Bookman Old Style"/>
          <w:sz w:val="24"/>
          <w:szCs w:val="24"/>
        </w:rPr>
        <w:t>Revogam-se as disposições em contrário.</w:t>
      </w:r>
    </w:p>
    <w:p w:rsidR="0069273E" w:rsidRPr="00EC0E5E" w:rsidRDefault="0069273E" w:rsidP="0069273E">
      <w:pPr>
        <w:tabs>
          <w:tab w:val="left" w:pos="2461"/>
          <w:tab w:val="left" w:pos="3717"/>
        </w:tabs>
        <w:jc w:val="both"/>
        <w:rPr>
          <w:rFonts w:ascii="Bookman Old Style" w:hAnsi="Bookman Old Style"/>
          <w:sz w:val="24"/>
          <w:szCs w:val="24"/>
        </w:rPr>
      </w:pPr>
      <w:r w:rsidRPr="00EC0E5E">
        <w:rPr>
          <w:rFonts w:ascii="Bookman Old Style" w:hAnsi="Bookman Old Style"/>
          <w:b/>
          <w:sz w:val="24"/>
          <w:szCs w:val="24"/>
        </w:rPr>
        <w:tab/>
      </w:r>
      <w:r w:rsidRPr="00EC0E5E">
        <w:rPr>
          <w:rFonts w:ascii="Bookman Old Style" w:hAnsi="Bookman Old Style"/>
          <w:b/>
          <w:sz w:val="24"/>
          <w:szCs w:val="24"/>
        </w:rPr>
        <w:tab/>
      </w:r>
    </w:p>
    <w:p w:rsidR="0069273E" w:rsidRPr="00EC0E5E" w:rsidRDefault="0069273E" w:rsidP="0069273E">
      <w:pPr>
        <w:tabs>
          <w:tab w:val="left" w:pos="2461"/>
        </w:tabs>
        <w:jc w:val="center"/>
        <w:rPr>
          <w:rFonts w:ascii="Bookman Old Style" w:hAnsi="Bookman Old Style"/>
          <w:sz w:val="24"/>
          <w:szCs w:val="24"/>
        </w:rPr>
      </w:pPr>
      <w:r w:rsidRPr="00EC0E5E">
        <w:rPr>
          <w:rFonts w:ascii="Bookman Old Style" w:hAnsi="Bookman Old Style"/>
          <w:sz w:val="24"/>
          <w:szCs w:val="24"/>
        </w:rPr>
        <w:t>Plenário Tancredo Neves, 18 de abril de 2011.</w:t>
      </w:r>
    </w:p>
    <w:p w:rsidR="0069273E" w:rsidRPr="00EC0E5E" w:rsidRDefault="0069273E" w:rsidP="0069273E">
      <w:pPr>
        <w:tabs>
          <w:tab w:val="left" w:pos="2461"/>
        </w:tabs>
        <w:jc w:val="center"/>
        <w:rPr>
          <w:rFonts w:ascii="Bookman Old Style" w:hAnsi="Bookman Old Style"/>
          <w:sz w:val="24"/>
          <w:szCs w:val="24"/>
        </w:rPr>
      </w:pPr>
    </w:p>
    <w:p w:rsidR="0069273E" w:rsidRPr="00EC0E5E" w:rsidRDefault="0069273E" w:rsidP="0069273E">
      <w:pPr>
        <w:tabs>
          <w:tab w:val="left" w:pos="2461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EC0E5E">
        <w:rPr>
          <w:rFonts w:ascii="Bookman Old Style" w:hAnsi="Bookman Old Style"/>
          <w:b/>
          <w:sz w:val="24"/>
          <w:szCs w:val="24"/>
        </w:rPr>
        <w:t>ANÍZIO TAVARES DA SILVA</w:t>
      </w:r>
    </w:p>
    <w:p w:rsidR="0069273E" w:rsidRPr="00EC0E5E" w:rsidRDefault="0069273E" w:rsidP="0069273E">
      <w:pPr>
        <w:tabs>
          <w:tab w:val="left" w:pos="2461"/>
        </w:tabs>
        <w:jc w:val="center"/>
        <w:rPr>
          <w:rFonts w:ascii="Bookman Old Style" w:hAnsi="Bookman Old Style"/>
          <w:sz w:val="24"/>
          <w:szCs w:val="24"/>
        </w:rPr>
      </w:pPr>
      <w:r w:rsidRPr="00EC0E5E">
        <w:rPr>
          <w:rFonts w:ascii="Bookman Old Style" w:hAnsi="Bookman Old Style"/>
          <w:sz w:val="24"/>
          <w:szCs w:val="24"/>
        </w:rPr>
        <w:t xml:space="preserve">Vereador </w:t>
      </w:r>
      <w:r w:rsidRPr="00EC0E5E">
        <w:rPr>
          <w:rFonts w:ascii="Bookman Old Style" w:hAnsi="Bookman Old Style" w:cs="Arial"/>
          <w:bCs/>
          <w:sz w:val="24"/>
        </w:rPr>
        <w:t>/</w:t>
      </w:r>
      <w:r w:rsidRPr="00EC0E5E">
        <w:rPr>
          <w:rFonts w:ascii="Bookman Old Style" w:hAnsi="Bookman Old Style"/>
          <w:sz w:val="24"/>
          <w:szCs w:val="24"/>
        </w:rPr>
        <w:t xml:space="preserve"> Vice-Presidente</w:t>
      </w:r>
    </w:p>
    <w:p w:rsidR="0069273E" w:rsidRPr="00EC0E5E" w:rsidRDefault="0069273E" w:rsidP="0069273E">
      <w:pPr>
        <w:tabs>
          <w:tab w:val="left" w:pos="2461"/>
        </w:tabs>
        <w:jc w:val="center"/>
        <w:rPr>
          <w:rFonts w:ascii="Bookman Old Style" w:hAnsi="Bookman Old Style"/>
          <w:sz w:val="24"/>
          <w:szCs w:val="24"/>
        </w:rPr>
      </w:pPr>
    </w:p>
    <w:p w:rsidR="0069273E" w:rsidRPr="001B5A9A" w:rsidRDefault="0069273E" w:rsidP="0069273E">
      <w:pPr>
        <w:tabs>
          <w:tab w:val="left" w:pos="2461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1B5A9A">
        <w:rPr>
          <w:rFonts w:ascii="Bookman Old Style" w:hAnsi="Bookman Old Style"/>
          <w:b/>
          <w:sz w:val="24"/>
          <w:szCs w:val="24"/>
        </w:rPr>
        <w:t>CARLOS FONTES</w:t>
      </w:r>
    </w:p>
    <w:p w:rsidR="0069273E" w:rsidRPr="00C444D6" w:rsidRDefault="0069273E" w:rsidP="0069273E">
      <w:pPr>
        <w:tabs>
          <w:tab w:val="left" w:pos="2461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t>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01" w:rsidRDefault="00491901">
      <w:r>
        <w:separator/>
      </w:r>
    </w:p>
  </w:endnote>
  <w:endnote w:type="continuationSeparator" w:id="0">
    <w:p w:rsidR="00491901" w:rsidRDefault="0049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01" w:rsidRDefault="00491901">
      <w:r>
        <w:separator/>
      </w:r>
    </w:p>
  </w:footnote>
  <w:footnote w:type="continuationSeparator" w:id="0">
    <w:p w:rsidR="00491901" w:rsidRDefault="00491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91901"/>
    <w:rsid w:val="004C67DE"/>
    <w:rsid w:val="0069273E"/>
    <w:rsid w:val="009F196D"/>
    <w:rsid w:val="00A9035B"/>
    <w:rsid w:val="00CC480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