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24" w:rsidRPr="009D4A4B" w:rsidRDefault="00277524" w:rsidP="004105DE">
      <w:pPr>
        <w:pStyle w:val="Ttulo"/>
        <w:rPr>
          <w:rFonts w:ascii="Bookman Old Style" w:hAnsi="Bookman Old Style" w:cs="Arial"/>
          <w:i w:val="0"/>
          <w:sz w:val="20"/>
          <w:szCs w:val="20"/>
          <w:u w:val="single"/>
        </w:rPr>
      </w:pPr>
      <w:bookmarkStart w:id="0" w:name="_GoBack"/>
      <w:bookmarkEnd w:id="0"/>
      <w:r w:rsidRPr="009D4A4B">
        <w:rPr>
          <w:rFonts w:ascii="Bookman Old Style" w:hAnsi="Bookman Old Style" w:cs="Arial"/>
          <w:i w:val="0"/>
          <w:sz w:val="20"/>
          <w:szCs w:val="20"/>
          <w:u w:val="single"/>
        </w:rPr>
        <w:t>AUTÓGRAFO Nº 95, DE 27 DE OUTUBRO DE 2009</w:t>
      </w:r>
    </w:p>
    <w:p w:rsidR="00277524" w:rsidRPr="009D4A4B" w:rsidRDefault="00277524" w:rsidP="004105DE">
      <w:pPr>
        <w:pStyle w:val="Recuodecorpodetexto"/>
        <w:ind w:firstLine="709"/>
        <w:rPr>
          <w:rFonts w:ascii="Bookman Old Style" w:hAnsi="Bookman Old Style" w:cs="Arial"/>
          <w:b w:val="0"/>
          <w:bCs/>
          <w:sz w:val="20"/>
        </w:rPr>
      </w:pPr>
    </w:p>
    <w:p w:rsidR="00277524" w:rsidRPr="009D4A4B" w:rsidRDefault="00277524" w:rsidP="004105DE">
      <w:pPr>
        <w:ind w:left="5040"/>
        <w:jc w:val="both"/>
        <w:rPr>
          <w:rFonts w:ascii="Bookman Old Style" w:hAnsi="Bookman Old Style" w:cs="Arial"/>
          <w:b/>
        </w:rPr>
      </w:pPr>
    </w:p>
    <w:p w:rsidR="00277524" w:rsidRPr="009D4A4B" w:rsidRDefault="00277524" w:rsidP="004105DE">
      <w:pPr>
        <w:ind w:left="4500"/>
        <w:jc w:val="both"/>
        <w:rPr>
          <w:rFonts w:ascii="Bookman Old Style" w:hAnsi="Bookman Old Style" w:cs="Arial"/>
        </w:rPr>
      </w:pPr>
      <w:r w:rsidRPr="009D4A4B">
        <w:rPr>
          <w:rFonts w:ascii="Bookman Old Style" w:hAnsi="Bookman Old Style" w:cs="Arial"/>
          <w:b/>
        </w:rPr>
        <w:t>APROVA</w:t>
      </w:r>
      <w:r w:rsidRPr="009D4A4B">
        <w:rPr>
          <w:rFonts w:ascii="Bookman Old Style" w:hAnsi="Bookman Old Style" w:cs="Arial"/>
        </w:rPr>
        <w:t>, nos próprios termos, o PROJETO DE LEI Nº 96/2009, de autoria do Poder Legislativo (Ver. José Antonio A. Gonçalves e Ver. Ademir da Silva), que “Dispõe sobre a coleta, reutilização, reciclagem, tratamento e disposição final de lixo tecnológico no Município de Santa Bárbara d’Oeste e dá outras providências.</w:t>
      </w:r>
    </w:p>
    <w:p w:rsidR="00277524" w:rsidRPr="009D4A4B" w:rsidRDefault="00277524" w:rsidP="004105DE">
      <w:pPr>
        <w:ind w:left="3960"/>
        <w:jc w:val="both"/>
        <w:rPr>
          <w:rFonts w:ascii="Bookman Old Style" w:hAnsi="Bookman Old Style" w:cs="Arial"/>
        </w:rPr>
      </w:pPr>
    </w:p>
    <w:p w:rsidR="00277524" w:rsidRPr="009D4A4B" w:rsidRDefault="00277524" w:rsidP="004105DE">
      <w:pPr>
        <w:ind w:left="3960"/>
        <w:jc w:val="both"/>
        <w:rPr>
          <w:rFonts w:ascii="Bookman Old Style" w:hAnsi="Bookman Old Style" w:cs="Arial"/>
        </w:rPr>
      </w:pPr>
    </w:p>
    <w:p w:rsidR="00277524" w:rsidRPr="009D4A4B" w:rsidRDefault="00277524" w:rsidP="004105DE">
      <w:pPr>
        <w:pStyle w:val="Recuodecorpodetexto2"/>
        <w:spacing w:line="240" w:lineRule="auto"/>
        <w:ind w:left="0" w:firstLine="1440"/>
        <w:jc w:val="both"/>
        <w:rPr>
          <w:rFonts w:ascii="Bookman Old Style" w:hAnsi="Bookman Old Style" w:cs="Arial"/>
          <w:sz w:val="20"/>
          <w:szCs w:val="20"/>
        </w:rPr>
      </w:pPr>
      <w:r w:rsidRPr="009D4A4B">
        <w:rPr>
          <w:rFonts w:ascii="Bookman Old Style" w:hAnsi="Bookman Old Style" w:cs="Arial"/>
          <w:b/>
          <w:bCs/>
          <w:caps/>
          <w:sz w:val="20"/>
          <w:szCs w:val="20"/>
        </w:rPr>
        <w:t>A Câmara Municipal de Santa Bárbara d’Oeste</w:t>
      </w:r>
      <w:r w:rsidRPr="009D4A4B">
        <w:rPr>
          <w:rFonts w:ascii="Bookman Old Style" w:hAnsi="Bookman Old Style" w:cs="Arial"/>
          <w:sz w:val="20"/>
          <w:szCs w:val="20"/>
        </w:rPr>
        <w:t>, Estado de São Paulo, faz saber que ela aprovou e o Prefeito MÁRIO CELSO HEINS, sanciona e promulga a seguinte Lei Municipal:</w:t>
      </w:r>
    </w:p>
    <w:p w:rsidR="00277524" w:rsidRPr="009D4A4B" w:rsidRDefault="00277524" w:rsidP="004105DE">
      <w:pPr>
        <w:ind w:firstLine="1440"/>
        <w:jc w:val="both"/>
        <w:rPr>
          <w:rFonts w:ascii="Bookman Old Style" w:hAnsi="Bookman Old Style" w:cs="Arial"/>
          <w:b/>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1º</w:t>
      </w:r>
      <w:r w:rsidRPr="009D4A4B">
        <w:rPr>
          <w:rFonts w:ascii="Bookman Old Style" w:hAnsi="Bookman Old Style" w:cs="Arial"/>
        </w:rPr>
        <w:t xml:space="preserve"> A coleta, reutilização, reciclagem, tratamento e disposição final de lixo tecnológico no Município de Santa Bárbara d’Oeste deverá ser realizada de forma a minimizar os impactos negativos causados ao meio ambiente, promover a inclusão social e proteger a saúde pública.</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Parágrafo único</w:t>
      </w:r>
      <w:r w:rsidRPr="009D4A4B">
        <w:rPr>
          <w:rFonts w:ascii="Bookman Old Style" w:hAnsi="Bookman Old Style" w:cs="Arial"/>
        </w:rPr>
        <w:t xml:space="preserve"> Considera-se lixo tecnológico os resíduos gerados pelo descarte de equipamentos tecnológicos de uso profissional, doméstico ou pessoal, inclusive suas partes e componentes, especialmente:</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 – computadores e seus equipamentos periféricos, tais como monitores de vídeo, telas, displays, impressoras, teclados, mouses, auto-falantes, drivers, modens, câmeras e outros;</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II – televisores e outros equipamentos que contenham tubos de raios catódicos;</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III – eletrodomésticos e eletroeletrônicos que contenham metais pesados ou outras substâncias tóxicas.</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IV – aparelhos ou lâmpadas, que contenham metais, gazes ou fluidos contaminantes;</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 xml:space="preserve">V – telefones, rádios comunicadores, transmissores, pilhas, baterias ou outra fonte de armazenamento de energia.  </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2º</w:t>
      </w:r>
      <w:r w:rsidRPr="009D4A4B">
        <w:rPr>
          <w:rFonts w:ascii="Bookman Old Style" w:hAnsi="Bookman Old Style" w:cs="Arial"/>
        </w:rPr>
        <w:t xml:space="preserve"> As empresas produtoras, importadoras ou que comercializem os produtos instalados no município de que trata o parágrafo único do art. 1º deverão apresentar ao órgão de proteção ambiental municipal, em conjunto ou individualmente, projeto de coleta, reutilização, reciclagem, tratamento ou disposição final, ambientalmente adequado, ou mecanismo de custeio para esse fim.</w:t>
      </w: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r w:rsidRPr="009D4A4B">
        <w:rPr>
          <w:rFonts w:ascii="Bookman Old Style" w:hAnsi="Bookman Old Style" w:cs="Arial"/>
        </w:rPr>
        <w:t>(Fls. 2 – Autógrafo nº 95 – PL nº 96/2009).</w:t>
      </w:r>
    </w:p>
    <w:p w:rsidR="00277524" w:rsidRPr="009D4A4B" w:rsidRDefault="00277524"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 1º</w:t>
      </w:r>
      <w:r w:rsidRPr="009D4A4B">
        <w:rPr>
          <w:rFonts w:ascii="Bookman Old Style" w:hAnsi="Bookman Old Style" w:cs="Arial"/>
        </w:rPr>
        <w:t xml:space="preserve"> O órgão municipal, a empresa ou a cooperativa designada para esta finalidade deverá, também, receber o lixo tecnológico eventualmente descartado em vias publicas. </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 2º</w:t>
      </w:r>
      <w:r w:rsidRPr="009D4A4B">
        <w:rPr>
          <w:rFonts w:ascii="Bookman Old Style" w:hAnsi="Bookman Old Style" w:cs="Arial"/>
        </w:rPr>
        <w:t xml:space="preserve"> Juntamente com o projeto, será encaminhada relação dos componentes tecnológicos de cada produto, os componentes tóxicos neles contidos e as quantidades comercializadas anualmente.</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 3º</w:t>
      </w:r>
      <w:r w:rsidRPr="009D4A4B">
        <w:rPr>
          <w:rFonts w:ascii="Bookman Old Style" w:hAnsi="Bookman Old Style" w:cs="Arial"/>
        </w:rPr>
        <w:t xml:space="preserve"> O projeto deverá prever mecanismos eficientes de informação aos consumidores sobre a necessidade e importância do adequado descarte do lixo tecnológico.</w:t>
      </w:r>
    </w:p>
    <w:p w:rsidR="00277524" w:rsidRPr="009D4A4B" w:rsidRDefault="00277524" w:rsidP="004105DE">
      <w:pPr>
        <w:ind w:firstLine="1440"/>
        <w:jc w:val="both"/>
        <w:rPr>
          <w:rFonts w:ascii="Bookman Old Style" w:hAnsi="Bookman Old Style" w:cs="Arial"/>
          <w:b/>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 4º</w:t>
      </w:r>
      <w:r w:rsidRPr="009D4A4B">
        <w:rPr>
          <w:rFonts w:ascii="Bookman Old Style" w:hAnsi="Bookman Old Style" w:cs="Arial"/>
        </w:rPr>
        <w:t xml:space="preserve"> Os projetos que incluam a participação de cooperativas de trabalhadores que realizem coleta, sem prejuízo do recebimento direto do consumidor pela empresa, reutilização ou reciclagem de lixo tecnológico, poderão receber incentivos do Município.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3º</w:t>
      </w:r>
      <w:r w:rsidRPr="009D4A4B">
        <w:rPr>
          <w:rFonts w:ascii="Bookman Old Style" w:hAnsi="Bookman Old Style" w:cs="Arial"/>
        </w:rPr>
        <w:t xml:space="preserve"> Considera-se destinação final ambientalmente adequada:</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 – utilização em processos de reciclagem ou reutilização que resultem em novo uso econômico do bem ou componente, respeitadas as restrições legais e regulamentares dos órgãos de saúde e meio-ambiente;</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II – neutralização e disposição final em conformidade com a legislação ambiental aplicável.</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4º</w:t>
      </w:r>
      <w:r w:rsidRPr="009D4A4B">
        <w:rPr>
          <w:rFonts w:ascii="Bookman Old Style" w:hAnsi="Bookman Old Style" w:cs="Arial"/>
        </w:rPr>
        <w:t xml:space="preserve"> O Município poderá oferecer incentivos à instalação e funcionamento de cooperativas e empresas que realizem a reutilização ou reciclagem de lixo tecnológico.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5º</w:t>
      </w:r>
      <w:r w:rsidRPr="009D4A4B">
        <w:rPr>
          <w:rFonts w:ascii="Bookman Old Style" w:hAnsi="Bookman Old Style" w:cs="Arial"/>
        </w:rPr>
        <w:t xml:space="preserve"> A inobservância ao disposto nesta Lei, sujeitará o infrator, sucessivamente, a:</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 – advertência emitida pelo órgão municipal responsável pelo meio ambiente;</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II – multa no valor estimado do potencial contaminador, limpeza e recuperação, dobrada em caso de reincidência;</w:t>
      </w: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III – cassação da licença de funcionamento.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Parágrafo único</w:t>
      </w:r>
      <w:r w:rsidRPr="009D4A4B">
        <w:rPr>
          <w:rFonts w:ascii="Bookman Old Style" w:hAnsi="Bookman Old Style" w:cs="Arial"/>
        </w:rPr>
        <w:t xml:space="preserve"> O valor da multa será reajustado anualmente pela variação do Índice de Preços ao Consumidor Amplo – IPCA, apurado pelo Instituto Brasileiro de Geografia e  Estatística  –  IBGE, acumulada  no  exercício  anterior,  </w:t>
      </w:r>
    </w:p>
    <w:p w:rsidR="00277524" w:rsidRPr="009D4A4B" w:rsidRDefault="00277524" w:rsidP="004105DE">
      <w:pPr>
        <w:ind w:firstLine="1440"/>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9D4A4B" w:rsidRDefault="009D4A4B"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r w:rsidRPr="009D4A4B">
        <w:rPr>
          <w:rFonts w:ascii="Bookman Old Style" w:hAnsi="Bookman Old Style" w:cs="Arial"/>
        </w:rPr>
        <w:t>(Fls. 3 – Autógrafo nº 95 – PL nº 96/2009).</w:t>
      </w:r>
    </w:p>
    <w:p w:rsidR="00277524" w:rsidRPr="009D4A4B" w:rsidRDefault="00277524"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r w:rsidRPr="009D4A4B">
        <w:rPr>
          <w:rFonts w:ascii="Bookman Old Style" w:hAnsi="Bookman Old Style" w:cs="Arial"/>
        </w:rPr>
        <w:t>sendo que, no caso de extinção deste índice, será adotado outro criado por legislação federal e que reflita a perda do poder aquisitivo da moeda.</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6º</w:t>
      </w:r>
      <w:r w:rsidRPr="009D4A4B">
        <w:rPr>
          <w:rFonts w:ascii="Bookman Old Style" w:hAnsi="Bookman Old Style" w:cs="Arial"/>
        </w:rPr>
        <w:t xml:space="preserve"> O Executivo regulamentará a presente lei no prazo de 90 (noventa) dias, contados de sua publicação.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 xml:space="preserve">Art. 7º </w:t>
      </w:r>
      <w:r w:rsidRPr="009D4A4B">
        <w:rPr>
          <w:rFonts w:ascii="Bookman Old Style" w:hAnsi="Bookman Old Style" w:cs="Arial"/>
        </w:rPr>
        <w:t>As despesas decorrentes da execução desta lei correrão por conta das dotações orçamentárias próprias, suplementadas se necessário.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b/>
        </w:rPr>
        <w:t>Art. 8º</w:t>
      </w:r>
      <w:r w:rsidRPr="009D4A4B">
        <w:rPr>
          <w:rFonts w:ascii="Bookman Old Style" w:hAnsi="Bookman Old Style" w:cs="Arial"/>
        </w:rPr>
        <w:t xml:space="preserve"> Esta lei entra em vigor na data de sua publicação, revogadas as disposições em contrário.</w:t>
      </w:r>
    </w:p>
    <w:p w:rsidR="00277524" w:rsidRPr="009D4A4B" w:rsidRDefault="00277524" w:rsidP="004105DE">
      <w:pPr>
        <w:ind w:firstLine="1440"/>
        <w:jc w:val="both"/>
        <w:rPr>
          <w:rFonts w:ascii="Bookman Old Style" w:hAnsi="Bookman Old Style" w:cs="Arial"/>
        </w:rPr>
      </w:pPr>
    </w:p>
    <w:p w:rsidR="00277524" w:rsidRPr="009D4A4B" w:rsidRDefault="00277524" w:rsidP="004105DE">
      <w:pPr>
        <w:ind w:firstLine="1440"/>
        <w:jc w:val="both"/>
        <w:rPr>
          <w:rFonts w:ascii="Bookman Old Style" w:hAnsi="Bookman Old Style" w:cs="Arial"/>
        </w:rPr>
      </w:pPr>
      <w:r w:rsidRPr="009D4A4B">
        <w:rPr>
          <w:rFonts w:ascii="Bookman Old Style" w:hAnsi="Bookman Old Style" w:cs="Arial"/>
        </w:rPr>
        <w:t>Plenário “Dr. Tancredo Neves”, em 27 de outubro de 2009.</w:t>
      </w:r>
    </w:p>
    <w:p w:rsidR="00277524" w:rsidRPr="009D4A4B" w:rsidRDefault="00277524" w:rsidP="004105DE">
      <w:pPr>
        <w:jc w:val="both"/>
        <w:rPr>
          <w:rFonts w:ascii="Bookman Old Style" w:hAnsi="Bookman Old Style" w:cs="Arial"/>
        </w:rPr>
      </w:pPr>
    </w:p>
    <w:p w:rsidR="00277524" w:rsidRPr="009D4A4B" w:rsidRDefault="00277524" w:rsidP="004105DE">
      <w:pPr>
        <w:jc w:val="both"/>
        <w:rPr>
          <w:rFonts w:ascii="Bookman Old Style" w:hAnsi="Bookman Old Style" w:cs="Arial"/>
        </w:rPr>
      </w:pPr>
    </w:p>
    <w:p w:rsidR="00277524" w:rsidRPr="009D4A4B" w:rsidRDefault="00277524" w:rsidP="004105DE">
      <w:pPr>
        <w:pStyle w:val="Ttulo2"/>
        <w:spacing w:before="0" w:beforeAutospacing="0" w:after="0" w:afterAutospacing="0"/>
        <w:jc w:val="both"/>
        <w:rPr>
          <w:rFonts w:ascii="Bookman Old Style" w:hAnsi="Bookman Old Style"/>
          <w:sz w:val="20"/>
          <w:szCs w:val="20"/>
        </w:rPr>
      </w:pPr>
      <w:r w:rsidRPr="009D4A4B">
        <w:rPr>
          <w:rFonts w:ascii="Bookman Old Style" w:hAnsi="Bookman Old Style"/>
          <w:sz w:val="20"/>
          <w:szCs w:val="20"/>
        </w:rPr>
        <w:t xml:space="preserve">            ANÍZIO TAVARES DA SILVA             ADEMIR JOSÉ DA SILVA</w:t>
      </w:r>
    </w:p>
    <w:p w:rsidR="00277524" w:rsidRPr="009D4A4B" w:rsidRDefault="00277524" w:rsidP="004105DE">
      <w:pPr>
        <w:pStyle w:val="Ttulo2"/>
        <w:spacing w:before="0" w:beforeAutospacing="0" w:after="0" w:afterAutospacing="0"/>
        <w:jc w:val="both"/>
        <w:rPr>
          <w:rFonts w:ascii="Bookman Old Style" w:hAnsi="Bookman Old Style"/>
          <w:b w:val="0"/>
          <w:bCs w:val="0"/>
          <w:sz w:val="20"/>
          <w:szCs w:val="20"/>
        </w:rPr>
      </w:pPr>
      <w:r w:rsidRPr="009D4A4B">
        <w:rPr>
          <w:rFonts w:ascii="Bookman Old Style" w:hAnsi="Bookman Old Style"/>
          <w:b w:val="0"/>
          <w:bCs w:val="0"/>
          <w:sz w:val="20"/>
          <w:szCs w:val="20"/>
        </w:rPr>
        <w:t xml:space="preserve">                      -Presidente-                                  -Vice-Presidente-</w:t>
      </w:r>
    </w:p>
    <w:p w:rsidR="00277524" w:rsidRPr="009D4A4B" w:rsidRDefault="00277524" w:rsidP="004105DE">
      <w:pPr>
        <w:pStyle w:val="Ttulo2"/>
        <w:spacing w:before="0" w:beforeAutospacing="0" w:after="0" w:afterAutospacing="0"/>
        <w:rPr>
          <w:rFonts w:ascii="Bookman Old Style" w:hAnsi="Bookman Old Style"/>
          <w:b w:val="0"/>
          <w:bCs w:val="0"/>
          <w:sz w:val="20"/>
          <w:szCs w:val="20"/>
        </w:rPr>
      </w:pPr>
    </w:p>
    <w:p w:rsidR="00277524" w:rsidRPr="009D4A4B" w:rsidRDefault="00277524" w:rsidP="004105DE">
      <w:pPr>
        <w:pStyle w:val="Ttulo2"/>
        <w:spacing w:before="0" w:beforeAutospacing="0" w:after="0" w:afterAutospacing="0"/>
        <w:rPr>
          <w:rFonts w:ascii="Bookman Old Style" w:hAnsi="Bookman Old Style"/>
          <w:b w:val="0"/>
          <w:bCs w:val="0"/>
          <w:sz w:val="20"/>
          <w:szCs w:val="20"/>
        </w:rPr>
      </w:pPr>
      <w:r w:rsidRPr="009D4A4B">
        <w:rPr>
          <w:rFonts w:ascii="Bookman Old Style" w:hAnsi="Bookman Old Style"/>
          <w:b w:val="0"/>
          <w:bCs w:val="0"/>
          <w:sz w:val="20"/>
          <w:szCs w:val="20"/>
        </w:rPr>
        <w:t xml:space="preserve">     </w:t>
      </w:r>
    </w:p>
    <w:p w:rsidR="00277524" w:rsidRPr="009D4A4B" w:rsidRDefault="00277524" w:rsidP="004105DE">
      <w:pPr>
        <w:pStyle w:val="Ttulo2"/>
        <w:spacing w:before="0" w:beforeAutospacing="0" w:after="0" w:afterAutospacing="0"/>
        <w:rPr>
          <w:rFonts w:ascii="Bookman Old Style" w:hAnsi="Bookman Old Style"/>
          <w:sz w:val="20"/>
          <w:szCs w:val="20"/>
        </w:rPr>
      </w:pPr>
      <w:r w:rsidRPr="009D4A4B">
        <w:rPr>
          <w:rFonts w:ascii="Bookman Old Style" w:hAnsi="Bookman Old Style"/>
          <w:b w:val="0"/>
          <w:bCs w:val="0"/>
          <w:i/>
          <w:iCs/>
          <w:sz w:val="20"/>
          <w:szCs w:val="20"/>
        </w:rPr>
        <w:t xml:space="preserve">      </w:t>
      </w:r>
      <w:r w:rsidRPr="009D4A4B">
        <w:rPr>
          <w:rFonts w:ascii="Bookman Old Style" w:hAnsi="Bookman Old Style"/>
          <w:sz w:val="20"/>
          <w:szCs w:val="20"/>
        </w:rPr>
        <w:t>CARLOS A. PORTELLA FONTES      LAERTE ANTONIO DA SILVA</w:t>
      </w:r>
    </w:p>
    <w:p w:rsidR="00277524" w:rsidRPr="009D4A4B" w:rsidRDefault="00277524" w:rsidP="004105DE">
      <w:pPr>
        <w:jc w:val="both"/>
        <w:rPr>
          <w:rFonts w:ascii="Bookman Old Style" w:hAnsi="Bookman Old Style" w:cs="Arial"/>
        </w:rPr>
      </w:pPr>
      <w:r w:rsidRPr="009D4A4B">
        <w:rPr>
          <w:rFonts w:ascii="Bookman Old Style" w:hAnsi="Bookman Old Style" w:cs="Arial"/>
        </w:rPr>
        <w:t xml:space="preserve">                     -1º Secretário-                                 -2º Secretário-</w:t>
      </w:r>
    </w:p>
    <w:p w:rsidR="00277524" w:rsidRPr="009D4A4B" w:rsidRDefault="00277524" w:rsidP="004105DE">
      <w:pPr>
        <w:pStyle w:val="Recuodecorpodetexto2"/>
        <w:spacing w:after="0" w:line="240" w:lineRule="auto"/>
        <w:ind w:left="0"/>
        <w:rPr>
          <w:rFonts w:ascii="Bookman Old Style" w:hAnsi="Bookman Old Style" w:cs="Arial"/>
          <w:sz w:val="20"/>
          <w:szCs w:val="20"/>
        </w:rPr>
      </w:pPr>
    </w:p>
    <w:p w:rsidR="00277524" w:rsidRPr="009D4A4B" w:rsidRDefault="00277524" w:rsidP="004105DE">
      <w:pPr>
        <w:pStyle w:val="Recuodecorpodetexto2"/>
        <w:spacing w:after="0" w:line="240" w:lineRule="auto"/>
        <w:ind w:left="0" w:firstLine="1440"/>
        <w:jc w:val="both"/>
        <w:rPr>
          <w:rFonts w:ascii="Bookman Old Style" w:hAnsi="Bookman Old Style" w:cs="Arial"/>
          <w:sz w:val="20"/>
          <w:szCs w:val="20"/>
        </w:rPr>
      </w:pPr>
    </w:p>
    <w:p w:rsidR="00277524" w:rsidRPr="009D4A4B" w:rsidRDefault="00277524" w:rsidP="004105DE">
      <w:pPr>
        <w:pStyle w:val="Recuodecorpodetexto2"/>
        <w:spacing w:after="0" w:line="240" w:lineRule="auto"/>
        <w:ind w:left="0" w:firstLine="1440"/>
        <w:jc w:val="both"/>
        <w:rPr>
          <w:rFonts w:ascii="Bookman Old Style" w:hAnsi="Bookman Old Style" w:cs="Arial"/>
          <w:sz w:val="20"/>
          <w:szCs w:val="20"/>
        </w:rPr>
      </w:pPr>
      <w:r w:rsidRPr="009D4A4B">
        <w:rPr>
          <w:rFonts w:ascii="Bookman Old Style" w:hAnsi="Bookman Old Style" w:cs="Arial"/>
          <w:sz w:val="20"/>
          <w:szCs w:val="20"/>
        </w:rPr>
        <w:t>Registrado na Secretaria da Câmara Municipal, em 28 de outubro de 2009.</w:t>
      </w:r>
    </w:p>
    <w:p w:rsidR="00277524" w:rsidRPr="009D4A4B" w:rsidRDefault="00277524" w:rsidP="004105DE">
      <w:pPr>
        <w:pStyle w:val="Recuodecorpodetexto2"/>
        <w:spacing w:after="0" w:line="240" w:lineRule="auto"/>
        <w:ind w:left="0"/>
        <w:rPr>
          <w:rFonts w:ascii="Bookman Old Style" w:hAnsi="Bookman Old Style" w:cs="Arial"/>
          <w:b/>
          <w:bCs/>
          <w:sz w:val="20"/>
          <w:szCs w:val="20"/>
        </w:rPr>
      </w:pPr>
    </w:p>
    <w:p w:rsidR="00277524" w:rsidRPr="009D4A4B" w:rsidRDefault="00277524" w:rsidP="004105DE">
      <w:pPr>
        <w:pStyle w:val="Recuodecorpodetexto2"/>
        <w:spacing w:after="0" w:line="240" w:lineRule="auto"/>
        <w:ind w:left="0"/>
        <w:rPr>
          <w:rFonts w:ascii="Bookman Old Style" w:hAnsi="Bookman Old Style" w:cs="Arial"/>
          <w:b/>
          <w:bCs/>
          <w:sz w:val="20"/>
          <w:szCs w:val="20"/>
        </w:rPr>
      </w:pPr>
    </w:p>
    <w:p w:rsidR="00277524" w:rsidRPr="009D4A4B" w:rsidRDefault="00277524" w:rsidP="004105DE">
      <w:pPr>
        <w:pStyle w:val="Recuodecorpodetexto2"/>
        <w:spacing w:after="0" w:line="240" w:lineRule="auto"/>
        <w:ind w:left="0"/>
        <w:jc w:val="center"/>
        <w:rPr>
          <w:rFonts w:ascii="Bookman Old Style" w:hAnsi="Bookman Old Style" w:cs="Arial"/>
          <w:b/>
          <w:bCs/>
          <w:sz w:val="20"/>
          <w:szCs w:val="20"/>
        </w:rPr>
      </w:pPr>
      <w:r w:rsidRPr="009D4A4B">
        <w:rPr>
          <w:rFonts w:ascii="Bookman Old Style" w:hAnsi="Bookman Old Style" w:cs="Arial"/>
          <w:b/>
          <w:bCs/>
          <w:sz w:val="20"/>
          <w:szCs w:val="20"/>
        </w:rPr>
        <w:t>DAISY MAC-KNIGHT PETRINI</w:t>
      </w:r>
    </w:p>
    <w:p w:rsidR="00277524" w:rsidRPr="009D4A4B" w:rsidRDefault="00277524" w:rsidP="004105DE">
      <w:pPr>
        <w:pStyle w:val="Recuodecorpodetexto2"/>
        <w:spacing w:after="0" w:line="240" w:lineRule="auto"/>
        <w:ind w:left="0"/>
        <w:jc w:val="center"/>
        <w:rPr>
          <w:rFonts w:ascii="Bookman Old Style" w:hAnsi="Bookman Old Style" w:cs="Arial"/>
          <w:sz w:val="20"/>
          <w:szCs w:val="20"/>
        </w:rPr>
      </w:pPr>
      <w:r w:rsidRPr="009D4A4B">
        <w:rPr>
          <w:rFonts w:ascii="Bookman Old Style" w:hAnsi="Bookman Old Style" w:cs="Arial"/>
          <w:sz w:val="20"/>
          <w:szCs w:val="20"/>
        </w:rPr>
        <w:t>-Chefe de Secretaria-</w:t>
      </w:r>
    </w:p>
    <w:p w:rsidR="00277524" w:rsidRPr="009D4A4B" w:rsidRDefault="00277524" w:rsidP="004105DE">
      <w:pPr>
        <w:jc w:val="both"/>
        <w:rPr>
          <w:rFonts w:ascii="Bookman Old Style" w:hAnsi="Bookman Old Style" w:cs="Arial"/>
        </w:rPr>
      </w:pPr>
    </w:p>
    <w:p w:rsidR="009F196D" w:rsidRPr="009D4A4B" w:rsidRDefault="009F196D" w:rsidP="00CD613B"/>
    <w:sectPr w:rsidR="009F196D" w:rsidRPr="009D4A4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DE" w:rsidRDefault="004105DE">
      <w:r>
        <w:separator/>
      </w:r>
    </w:p>
  </w:endnote>
  <w:endnote w:type="continuationSeparator" w:id="0">
    <w:p w:rsidR="004105DE" w:rsidRDefault="0041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DE" w:rsidRDefault="004105DE">
      <w:r>
        <w:separator/>
      </w:r>
    </w:p>
  </w:footnote>
  <w:footnote w:type="continuationSeparator" w:id="0">
    <w:p w:rsidR="004105DE" w:rsidRDefault="0041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7524"/>
    <w:rsid w:val="003D3AA8"/>
    <w:rsid w:val="004105DE"/>
    <w:rsid w:val="004C67DE"/>
    <w:rsid w:val="009D4A4B"/>
    <w:rsid w:val="009F196D"/>
    <w:rsid w:val="00A9035B"/>
    <w:rsid w:val="00CD613B"/>
    <w:rsid w:val="00E15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qFormat/>
    <w:rsid w:val="00277524"/>
    <w:pPr>
      <w:spacing w:before="100" w:beforeAutospacing="1" w:after="100" w:afterAutospacing="1"/>
      <w:outlineLvl w:val="1"/>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77524"/>
    <w:pPr>
      <w:jc w:val="center"/>
    </w:pPr>
    <w:rPr>
      <w:b/>
      <w:bCs/>
      <w:i/>
      <w:iCs/>
      <w:sz w:val="28"/>
      <w:szCs w:val="24"/>
    </w:rPr>
  </w:style>
  <w:style w:type="paragraph" w:styleId="Recuodecorpodetexto">
    <w:name w:val="Body Text Indent"/>
    <w:basedOn w:val="Normal"/>
    <w:rsid w:val="00277524"/>
    <w:pPr>
      <w:spacing w:line="360" w:lineRule="auto"/>
      <w:ind w:left="3686"/>
      <w:jc w:val="both"/>
    </w:pPr>
    <w:rPr>
      <w:rFonts w:ascii="Arial" w:hAnsi="Arial"/>
      <w:b/>
      <w:sz w:val="24"/>
    </w:rPr>
  </w:style>
  <w:style w:type="paragraph" w:styleId="Recuodecorpodetexto2">
    <w:name w:val="Body Text Indent 2"/>
    <w:basedOn w:val="Normal"/>
    <w:rsid w:val="00277524"/>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4127</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