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2E" w:rsidRDefault="00A1592E">
      <w:pPr>
        <w:pStyle w:val="Ttulo"/>
      </w:pPr>
      <w:bookmarkStart w:id="0" w:name="_GoBack"/>
      <w:bookmarkEnd w:id="0"/>
      <w:r>
        <w:t>INDICAÇÃO Nº 637/10</w:t>
      </w:r>
    </w:p>
    <w:p w:rsidR="00A1592E" w:rsidRDefault="00A1592E">
      <w:pPr>
        <w:jc w:val="center"/>
        <w:rPr>
          <w:rFonts w:ascii="Bookman Old Style" w:hAnsi="Bookman Old Style"/>
          <w:b/>
          <w:u w:val="single"/>
        </w:rPr>
      </w:pPr>
    </w:p>
    <w:p w:rsidR="00A1592E" w:rsidRDefault="00A1592E">
      <w:pPr>
        <w:jc w:val="center"/>
        <w:rPr>
          <w:rFonts w:ascii="Bookman Old Style" w:hAnsi="Bookman Old Style"/>
          <w:b/>
          <w:u w:val="single"/>
        </w:rPr>
      </w:pPr>
    </w:p>
    <w:p w:rsidR="00A1592E" w:rsidRDefault="00A1592E">
      <w:pPr>
        <w:jc w:val="center"/>
        <w:rPr>
          <w:rFonts w:ascii="Bookman Old Style" w:hAnsi="Bookman Old Style"/>
          <w:b/>
          <w:u w:val="single"/>
        </w:rPr>
      </w:pPr>
    </w:p>
    <w:p w:rsidR="00A1592E" w:rsidRDefault="00A1592E">
      <w:pPr>
        <w:pStyle w:val="Recuodecorpodetexto"/>
      </w:pPr>
      <w:r>
        <w:t>“Recuperação da camada asfáltica na rotatória da Rua Mogi – Guaçu, próximo ao n° 1482, no bairro Jardim das Laranjeiras”.</w:t>
      </w:r>
    </w:p>
    <w:p w:rsidR="00A1592E" w:rsidRDefault="00A1592E">
      <w:pPr>
        <w:ind w:left="1440" w:firstLine="3600"/>
        <w:jc w:val="both"/>
        <w:rPr>
          <w:rFonts w:ascii="Bookman Old Style" w:hAnsi="Bookman Old Style"/>
        </w:rPr>
      </w:pPr>
    </w:p>
    <w:p w:rsidR="00A1592E" w:rsidRDefault="00A1592E">
      <w:pPr>
        <w:ind w:left="1440" w:firstLine="3600"/>
        <w:jc w:val="both"/>
        <w:rPr>
          <w:rFonts w:ascii="Bookman Old Style" w:hAnsi="Bookman Old Style"/>
        </w:rPr>
      </w:pPr>
    </w:p>
    <w:p w:rsidR="00A1592E" w:rsidRDefault="00A1592E">
      <w:pPr>
        <w:ind w:left="1440" w:firstLine="3600"/>
        <w:jc w:val="both"/>
        <w:rPr>
          <w:rFonts w:ascii="Bookman Old Style" w:hAnsi="Bookman Old Style"/>
        </w:rPr>
      </w:pPr>
    </w:p>
    <w:p w:rsidR="00A1592E" w:rsidRDefault="00A1592E">
      <w:pPr>
        <w:ind w:left="1440" w:firstLine="3600"/>
        <w:jc w:val="both"/>
        <w:rPr>
          <w:rFonts w:ascii="Bookman Old Style" w:hAnsi="Bookman Old Style"/>
        </w:rPr>
      </w:pPr>
    </w:p>
    <w:p w:rsidR="00A1592E" w:rsidRPr="00C8479F" w:rsidRDefault="00A1592E" w:rsidP="00B61E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da camada </w:t>
      </w:r>
      <w:r w:rsidRPr="00C8479F">
        <w:rPr>
          <w:rFonts w:ascii="Bookman Old Style" w:hAnsi="Bookman Old Style"/>
        </w:rPr>
        <w:t>asfáltica na rotatória da Rua Mogi – Guaçu, próximo ao n° 1482, no bairro Jardim das Laranjeiras.</w:t>
      </w:r>
    </w:p>
    <w:p w:rsidR="00A1592E" w:rsidRDefault="00A1592E" w:rsidP="00B61EA9">
      <w:pPr>
        <w:ind w:firstLine="1440"/>
        <w:jc w:val="both"/>
        <w:rPr>
          <w:rFonts w:ascii="Bookman Old Style" w:hAnsi="Bookman Old Style"/>
        </w:rPr>
      </w:pPr>
    </w:p>
    <w:p w:rsidR="00A1592E" w:rsidRDefault="00A1592E" w:rsidP="00B61EA9">
      <w:pPr>
        <w:ind w:firstLine="1440"/>
        <w:jc w:val="both"/>
        <w:rPr>
          <w:rFonts w:ascii="Bookman Old Style" w:hAnsi="Bookman Old Style"/>
          <w:b/>
        </w:rPr>
      </w:pPr>
    </w:p>
    <w:p w:rsidR="00A1592E" w:rsidRDefault="00A1592E" w:rsidP="00B61EA9">
      <w:pPr>
        <w:jc w:val="center"/>
        <w:rPr>
          <w:rFonts w:ascii="Bookman Old Style" w:hAnsi="Bookman Old Style"/>
          <w:b/>
        </w:rPr>
      </w:pPr>
    </w:p>
    <w:p w:rsidR="00A1592E" w:rsidRDefault="00A1592E" w:rsidP="00B61E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592E" w:rsidRDefault="00A1592E" w:rsidP="00B61EA9">
      <w:pPr>
        <w:jc w:val="center"/>
        <w:rPr>
          <w:rFonts w:ascii="Bookman Old Style" w:hAnsi="Bookman Old Style"/>
          <w:b/>
        </w:rPr>
      </w:pPr>
    </w:p>
    <w:p w:rsidR="00A1592E" w:rsidRDefault="00A1592E" w:rsidP="00B61EA9">
      <w:pPr>
        <w:jc w:val="center"/>
        <w:rPr>
          <w:rFonts w:ascii="Bookman Old Style" w:hAnsi="Bookman Old Style"/>
          <w:b/>
        </w:rPr>
      </w:pPr>
    </w:p>
    <w:p w:rsidR="00A1592E" w:rsidRDefault="00A1592E" w:rsidP="00B61EA9">
      <w:pPr>
        <w:jc w:val="center"/>
        <w:rPr>
          <w:rFonts w:ascii="Bookman Old Style" w:hAnsi="Bookman Old Style"/>
          <w:b/>
        </w:rPr>
      </w:pPr>
    </w:p>
    <w:p w:rsidR="00A1592E" w:rsidRDefault="00A1592E" w:rsidP="00B61EA9">
      <w:pPr>
        <w:jc w:val="center"/>
        <w:rPr>
          <w:rFonts w:ascii="Bookman Old Style" w:hAnsi="Bookman Old Style"/>
          <w:b/>
        </w:rPr>
      </w:pPr>
    </w:p>
    <w:p w:rsidR="00A1592E" w:rsidRPr="00C4775E" w:rsidRDefault="00A1592E" w:rsidP="00B61EA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1592E" w:rsidRPr="003D2A9F" w:rsidRDefault="00A1592E" w:rsidP="00B61EA9">
      <w:pPr>
        <w:ind w:firstLine="1440"/>
        <w:jc w:val="both"/>
        <w:rPr>
          <w:rFonts w:ascii="Bookman Old Style" w:hAnsi="Bookman Old Style"/>
        </w:rPr>
      </w:pPr>
    </w:p>
    <w:p w:rsidR="00A1592E" w:rsidRDefault="00A1592E" w:rsidP="00B61EA9">
      <w:pPr>
        <w:ind w:firstLine="1440"/>
        <w:jc w:val="both"/>
        <w:rPr>
          <w:rFonts w:ascii="Bookman Old Style" w:hAnsi="Bookman Old Style"/>
        </w:rPr>
      </w:pPr>
    </w:p>
    <w:p w:rsidR="00A1592E" w:rsidRDefault="00A1592E">
      <w:pPr>
        <w:ind w:firstLine="1440"/>
        <w:jc w:val="center"/>
        <w:rPr>
          <w:rFonts w:ascii="Bookman Old Style" w:hAnsi="Bookman Old Style"/>
          <w:b/>
        </w:rPr>
      </w:pPr>
    </w:p>
    <w:p w:rsidR="00A1592E" w:rsidRDefault="00A1592E">
      <w:pPr>
        <w:ind w:firstLine="1440"/>
        <w:jc w:val="both"/>
        <w:rPr>
          <w:rFonts w:ascii="Bookman Old Style" w:hAnsi="Bookman Old Style"/>
        </w:rPr>
      </w:pPr>
    </w:p>
    <w:p w:rsidR="00A1592E" w:rsidRDefault="00A1592E">
      <w:pPr>
        <w:ind w:firstLine="1440"/>
        <w:jc w:val="both"/>
        <w:rPr>
          <w:rFonts w:ascii="Bookman Old Style" w:hAnsi="Bookman Old Style"/>
        </w:rPr>
      </w:pPr>
    </w:p>
    <w:p w:rsidR="00A1592E" w:rsidRDefault="00A1592E" w:rsidP="00B61E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A1592E" w:rsidRDefault="00A1592E">
      <w:pPr>
        <w:ind w:firstLine="1440"/>
        <w:rPr>
          <w:rFonts w:ascii="Bookman Old Style" w:hAnsi="Bookman Old Style"/>
        </w:rPr>
      </w:pPr>
    </w:p>
    <w:p w:rsidR="00A1592E" w:rsidRDefault="00A1592E">
      <w:pPr>
        <w:rPr>
          <w:rFonts w:ascii="Bookman Old Style" w:hAnsi="Bookman Old Style"/>
        </w:rPr>
      </w:pPr>
    </w:p>
    <w:p w:rsidR="00A1592E" w:rsidRDefault="00A1592E">
      <w:pPr>
        <w:ind w:firstLine="1440"/>
        <w:rPr>
          <w:rFonts w:ascii="Bookman Old Style" w:hAnsi="Bookman Old Style"/>
        </w:rPr>
      </w:pPr>
    </w:p>
    <w:p w:rsidR="00A1592E" w:rsidRDefault="00A1592E">
      <w:pPr>
        <w:ind w:firstLine="1440"/>
        <w:rPr>
          <w:rFonts w:ascii="Bookman Old Style" w:hAnsi="Bookman Old Style"/>
        </w:rPr>
      </w:pPr>
    </w:p>
    <w:p w:rsidR="00A1592E" w:rsidRDefault="00A1592E" w:rsidP="00B61E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1592E" w:rsidRDefault="00A1592E" w:rsidP="00B61E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1592E" w:rsidRDefault="00A1592E" w:rsidP="00B61EA9">
      <w:pPr>
        <w:ind w:firstLine="120"/>
        <w:jc w:val="center"/>
        <w:outlineLvl w:val="0"/>
        <w:rPr>
          <w:rFonts w:ascii="Bookman Old Style" w:hAnsi="Bookman Old Style"/>
        </w:rPr>
      </w:pPr>
    </w:p>
    <w:p w:rsidR="00A1592E" w:rsidRDefault="00A1592E" w:rsidP="00B61EA9">
      <w:pPr>
        <w:ind w:firstLine="120"/>
        <w:jc w:val="center"/>
        <w:outlineLvl w:val="0"/>
        <w:rPr>
          <w:rFonts w:ascii="Bookman Old Style" w:hAnsi="Bookman Old Style"/>
        </w:rPr>
      </w:pPr>
    </w:p>
    <w:p w:rsidR="00A1592E" w:rsidRDefault="00A1592E" w:rsidP="00B61EA9">
      <w:pPr>
        <w:ind w:firstLine="120"/>
        <w:jc w:val="center"/>
        <w:outlineLvl w:val="0"/>
        <w:rPr>
          <w:rFonts w:ascii="Bookman Old Style" w:hAnsi="Bookman Old Style"/>
        </w:rPr>
      </w:pPr>
    </w:p>
    <w:p w:rsidR="00A1592E" w:rsidRDefault="00A1592E" w:rsidP="00B61EA9">
      <w:pPr>
        <w:ind w:firstLine="120"/>
        <w:jc w:val="center"/>
        <w:outlineLvl w:val="0"/>
        <w:rPr>
          <w:rFonts w:ascii="Bookman Old Style" w:hAnsi="Bookman Old Style"/>
        </w:rPr>
      </w:pPr>
    </w:p>
    <w:p w:rsidR="00A1592E" w:rsidRPr="007D7026" w:rsidRDefault="00A1592E" w:rsidP="00B61EA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A9" w:rsidRDefault="00B61EA9">
      <w:r>
        <w:separator/>
      </w:r>
    </w:p>
  </w:endnote>
  <w:endnote w:type="continuationSeparator" w:id="0">
    <w:p w:rsidR="00B61EA9" w:rsidRDefault="00B6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A9" w:rsidRDefault="00B61EA9">
      <w:r>
        <w:separator/>
      </w:r>
    </w:p>
  </w:footnote>
  <w:footnote w:type="continuationSeparator" w:id="0">
    <w:p w:rsidR="00B61EA9" w:rsidRDefault="00B6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592E"/>
    <w:rsid w:val="00A9035B"/>
    <w:rsid w:val="00B61EA9"/>
    <w:rsid w:val="00CD613B"/>
    <w:rsid w:val="00F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59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1592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1592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