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1B" w:rsidRDefault="00836C1B" w:rsidP="004426A7">
      <w:pPr>
        <w:pStyle w:val="Ttulo"/>
      </w:pPr>
      <w:bookmarkStart w:id="0" w:name="_GoBack"/>
      <w:bookmarkEnd w:id="0"/>
      <w:r>
        <w:t>INDICAÇÃO Nº   74/09</w:t>
      </w:r>
    </w:p>
    <w:p w:rsidR="00836C1B" w:rsidRDefault="00836C1B">
      <w:pPr>
        <w:jc w:val="center"/>
        <w:rPr>
          <w:rFonts w:ascii="Bookman Old Style" w:hAnsi="Bookman Old Style"/>
          <w:b/>
          <w:u w:val="single"/>
        </w:rPr>
      </w:pPr>
    </w:p>
    <w:p w:rsidR="00836C1B" w:rsidRDefault="00836C1B">
      <w:pPr>
        <w:jc w:val="center"/>
        <w:rPr>
          <w:rFonts w:ascii="Bookman Old Style" w:hAnsi="Bookman Old Style"/>
          <w:b/>
          <w:u w:val="single"/>
        </w:rPr>
      </w:pPr>
    </w:p>
    <w:p w:rsidR="00836C1B" w:rsidRDefault="00836C1B" w:rsidP="004426A7">
      <w:pPr>
        <w:pStyle w:val="Recuodecorpodetexto"/>
        <w:ind w:left="4440"/>
      </w:pPr>
      <w:r>
        <w:t>“Operação tapa-buracos no cruzamento da Rua limeira com a avenida São Paulo, na altura do nº. 1404, no bairro Jardim Pérola”.</w:t>
      </w:r>
    </w:p>
    <w:p w:rsidR="00836C1B" w:rsidRDefault="00836C1B">
      <w:pPr>
        <w:ind w:left="1440" w:firstLine="3600"/>
        <w:jc w:val="both"/>
        <w:rPr>
          <w:rFonts w:ascii="Bookman Old Style" w:hAnsi="Bookman Old Style"/>
        </w:rPr>
      </w:pPr>
    </w:p>
    <w:p w:rsidR="00836C1B" w:rsidRDefault="00836C1B">
      <w:pPr>
        <w:ind w:left="1440" w:firstLine="3600"/>
        <w:jc w:val="both"/>
        <w:rPr>
          <w:rFonts w:ascii="Bookman Old Style" w:hAnsi="Bookman Old Style"/>
        </w:rPr>
      </w:pPr>
    </w:p>
    <w:p w:rsidR="00836C1B" w:rsidRDefault="00836C1B">
      <w:pPr>
        <w:ind w:left="1440" w:firstLine="3600"/>
        <w:jc w:val="both"/>
        <w:rPr>
          <w:rFonts w:ascii="Bookman Old Style" w:hAnsi="Bookman Old Style"/>
        </w:rPr>
      </w:pPr>
    </w:p>
    <w:p w:rsidR="00836C1B" w:rsidRDefault="00836C1B">
      <w:pPr>
        <w:ind w:left="1440" w:firstLine="3600"/>
        <w:jc w:val="both"/>
        <w:rPr>
          <w:rFonts w:ascii="Bookman Old Style" w:hAnsi="Bookman Old Style"/>
        </w:rPr>
      </w:pPr>
    </w:p>
    <w:p w:rsidR="00836C1B" w:rsidRDefault="00836C1B" w:rsidP="004426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o cruzamento da Rua Limeira com a Avenida São Paulo</w:t>
      </w:r>
      <w:r w:rsidRPr="00177AD0">
        <w:rPr>
          <w:rFonts w:ascii="Bookman Old Style" w:hAnsi="Bookman Old Style"/>
        </w:rPr>
        <w:t xml:space="preserve"> , </w:t>
      </w:r>
      <w:r>
        <w:rPr>
          <w:rFonts w:ascii="Bookman Old Style" w:hAnsi="Bookman Old Style"/>
        </w:rPr>
        <w:t>na altura do nº. 1404,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Pérola.</w:t>
      </w:r>
    </w:p>
    <w:p w:rsidR="00836C1B" w:rsidRPr="003977F2" w:rsidRDefault="00836C1B" w:rsidP="004426A7">
      <w:pPr>
        <w:ind w:firstLine="1440"/>
        <w:jc w:val="both"/>
        <w:rPr>
          <w:rFonts w:ascii="Bookman Old Style" w:hAnsi="Bookman Old Style"/>
          <w:b/>
        </w:rPr>
      </w:pPr>
    </w:p>
    <w:p w:rsidR="00836C1B" w:rsidRDefault="00836C1B" w:rsidP="004426A7">
      <w:pPr>
        <w:jc w:val="center"/>
        <w:rPr>
          <w:rFonts w:ascii="Bookman Old Style" w:hAnsi="Bookman Old Style"/>
          <w:b/>
        </w:rPr>
      </w:pPr>
    </w:p>
    <w:p w:rsidR="00836C1B" w:rsidRDefault="00836C1B" w:rsidP="004426A7">
      <w:pPr>
        <w:jc w:val="center"/>
        <w:rPr>
          <w:rFonts w:ascii="Bookman Old Style" w:hAnsi="Bookman Old Style"/>
          <w:b/>
        </w:rPr>
      </w:pPr>
    </w:p>
    <w:p w:rsidR="00836C1B" w:rsidRDefault="00836C1B" w:rsidP="004426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36C1B" w:rsidRDefault="00836C1B" w:rsidP="004426A7">
      <w:pPr>
        <w:jc w:val="center"/>
        <w:rPr>
          <w:rFonts w:ascii="Bookman Old Style" w:hAnsi="Bookman Old Style"/>
          <w:b/>
        </w:rPr>
      </w:pPr>
    </w:p>
    <w:p w:rsidR="00836C1B" w:rsidRDefault="00836C1B" w:rsidP="004426A7">
      <w:pPr>
        <w:jc w:val="center"/>
        <w:rPr>
          <w:rFonts w:ascii="Bookman Old Style" w:hAnsi="Bookman Old Style"/>
          <w:b/>
        </w:rPr>
      </w:pPr>
    </w:p>
    <w:p w:rsidR="00836C1B" w:rsidRDefault="00836C1B" w:rsidP="004426A7">
      <w:pPr>
        <w:jc w:val="center"/>
        <w:rPr>
          <w:rFonts w:ascii="Bookman Old Style" w:hAnsi="Bookman Old Style"/>
          <w:b/>
        </w:rPr>
      </w:pPr>
    </w:p>
    <w:p w:rsidR="00836C1B" w:rsidRDefault="00836C1B" w:rsidP="004426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836C1B" w:rsidRDefault="00836C1B" w:rsidP="004426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36C1B" w:rsidRPr="001751EC" w:rsidRDefault="00836C1B" w:rsidP="004426A7">
      <w:pPr>
        <w:ind w:firstLine="1440"/>
        <w:jc w:val="both"/>
        <w:rPr>
          <w:rFonts w:ascii="Bookman Old Style" w:hAnsi="Bookman Old Style"/>
        </w:rPr>
      </w:pPr>
    </w:p>
    <w:p w:rsidR="00836C1B" w:rsidRDefault="00836C1B" w:rsidP="004426A7">
      <w:pPr>
        <w:ind w:firstLine="1440"/>
        <w:jc w:val="both"/>
        <w:outlineLvl w:val="0"/>
        <w:rPr>
          <w:rFonts w:ascii="Bookman Old Style" w:hAnsi="Bookman Old Style"/>
        </w:rPr>
      </w:pPr>
    </w:p>
    <w:p w:rsidR="00836C1B" w:rsidRDefault="00836C1B" w:rsidP="004426A7">
      <w:pPr>
        <w:ind w:firstLine="1440"/>
        <w:outlineLvl w:val="0"/>
        <w:rPr>
          <w:rFonts w:ascii="Bookman Old Style" w:hAnsi="Bookman Old Style"/>
        </w:rPr>
      </w:pPr>
    </w:p>
    <w:p w:rsidR="00836C1B" w:rsidRDefault="00836C1B" w:rsidP="004426A7">
      <w:pPr>
        <w:ind w:firstLine="1440"/>
        <w:outlineLvl w:val="0"/>
        <w:rPr>
          <w:rFonts w:ascii="Bookman Old Style" w:hAnsi="Bookman Old Style"/>
        </w:rPr>
      </w:pPr>
    </w:p>
    <w:p w:rsidR="00836C1B" w:rsidRDefault="00836C1B" w:rsidP="004426A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fevereiro de 2009.</w:t>
      </w:r>
    </w:p>
    <w:p w:rsidR="00836C1B" w:rsidRDefault="00836C1B">
      <w:pPr>
        <w:ind w:firstLine="1440"/>
        <w:rPr>
          <w:rFonts w:ascii="Bookman Old Style" w:hAnsi="Bookman Old Style"/>
        </w:rPr>
      </w:pPr>
    </w:p>
    <w:p w:rsidR="00836C1B" w:rsidRDefault="00836C1B">
      <w:pPr>
        <w:rPr>
          <w:rFonts w:ascii="Bookman Old Style" w:hAnsi="Bookman Old Style"/>
        </w:rPr>
      </w:pPr>
    </w:p>
    <w:p w:rsidR="00836C1B" w:rsidRDefault="00836C1B">
      <w:pPr>
        <w:ind w:firstLine="1440"/>
        <w:rPr>
          <w:rFonts w:ascii="Bookman Old Style" w:hAnsi="Bookman Old Style"/>
        </w:rPr>
      </w:pPr>
    </w:p>
    <w:p w:rsidR="00836C1B" w:rsidRDefault="00836C1B" w:rsidP="004426A7">
      <w:pPr>
        <w:jc w:val="center"/>
        <w:outlineLvl w:val="0"/>
        <w:rPr>
          <w:rFonts w:ascii="Bookman Old Style" w:hAnsi="Bookman Old Style"/>
          <w:b/>
        </w:rPr>
      </w:pPr>
    </w:p>
    <w:p w:rsidR="00836C1B" w:rsidRDefault="00836C1B" w:rsidP="004426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36C1B" w:rsidRDefault="00836C1B" w:rsidP="004426A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36C1B" w:rsidRDefault="00836C1B" w:rsidP="004426A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836C1B" w:rsidRDefault="00836C1B" w:rsidP="004426A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A7" w:rsidRDefault="004426A7">
      <w:r>
        <w:separator/>
      </w:r>
    </w:p>
  </w:endnote>
  <w:endnote w:type="continuationSeparator" w:id="0">
    <w:p w:rsidR="004426A7" w:rsidRDefault="0044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A7" w:rsidRDefault="004426A7">
      <w:r>
        <w:separator/>
      </w:r>
    </w:p>
  </w:footnote>
  <w:footnote w:type="continuationSeparator" w:id="0">
    <w:p w:rsidR="004426A7" w:rsidRDefault="0044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6A7"/>
    <w:rsid w:val="004C0623"/>
    <w:rsid w:val="004C67DE"/>
    <w:rsid w:val="00836C1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6C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6C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