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D5" w:rsidRDefault="00A33FD5" w:rsidP="00E51723">
      <w:pPr>
        <w:pStyle w:val="Ttulo"/>
      </w:pPr>
      <w:bookmarkStart w:id="0" w:name="_GoBack"/>
      <w:bookmarkEnd w:id="0"/>
      <w:r>
        <w:t>INDICAÇÃO Nº  138/09</w:t>
      </w:r>
    </w:p>
    <w:p w:rsidR="00A33FD5" w:rsidRDefault="00A33FD5">
      <w:pPr>
        <w:jc w:val="center"/>
        <w:rPr>
          <w:rFonts w:ascii="Bookman Old Style" w:hAnsi="Bookman Old Style"/>
          <w:b/>
          <w:u w:val="single"/>
        </w:rPr>
      </w:pPr>
    </w:p>
    <w:p w:rsidR="00A33FD5" w:rsidRDefault="00A33FD5">
      <w:pPr>
        <w:jc w:val="center"/>
        <w:rPr>
          <w:rFonts w:ascii="Bookman Old Style" w:hAnsi="Bookman Old Style"/>
          <w:b/>
          <w:u w:val="single"/>
        </w:rPr>
      </w:pPr>
    </w:p>
    <w:p w:rsidR="00A33FD5" w:rsidRDefault="00A33FD5" w:rsidP="00E51723">
      <w:pPr>
        <w:pStyle w:val="Recuodecorpodetexto"/>
        <w:ind w:left="4440"/>
      </w:pPr>
      <w:r>
        <w:t>“Operação tapa-buracos na Rua Antonio Furlan, na altura do nº. 223, no bairro Residencial Furlan”.</w:t>
      </w:r>
    </w:p>
    <w:p w:rsidR="00A33FD5" w:rsidRDefault="00A33FD5">
      <w:pPr>
        <w:ind w:left="1440" w:firstLine="3600"/>
        <w:jc w:val="both"/>
        <w:rPr>
          <w:rFonts w:ascii="Bookman Old Style" w:hAnsi="Bookman Old Style"/>
        </w:rPr>
      </w:pPr>
    </w:p>
    <w:p w:rsidR="00A33FD5" w:rsidRDefault="00A33FD5">
      <w:pPr>
        <w:ind w:left="1440" w:firstLine="3600"/>
        <w:jc w:val="both"/>
        <w:rPr>
          <w:rFonts w:ascii="Bookman Old Style" w:hAnsi="Bookman Old Style"/>
        </w:rPr>
      </w:pPr>
    </w:p>
    <w:p w:rsidR="00A33FD5" w:rsidRDefault="00A33FD5">
      <w:pPr>
        <w:ind w:left="1440" w:firstLine="3600"/>
        <w:jc w:val="both"/>
        <w:rPr>
          <w:rFonts w:ascii="Bookman Old Style" w:hAnsi="Bookman Old Style"/>
        </w:rPr>
      </w:pPr>
    </w:p>
    <w:p w:rsidR="00A33FD5" w:rsidRDefault="00A33FD5">
      <w:pPr>
        <w:ind w:left="1440" w:firstLine="3600"/>
        <w:jc w:val="both"/>
        <w:rPr>
          <w:rFonts w:ascii="Bookman Old Style" w:hAnsi="Bookman Old Style"/>
        </w:rPr>
      </w:pPr>
    </w:p>
    <w:p w:rsidR="00A33FD5" w:rsidRDefault="00A33FD5" w:rsidP="00E5172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operação tapa-buracos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Antonio Furlan</w:t>
      </w:r>
      <w:r w:rsidRPr="00177AD0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na altura do nº. 223,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Residencial furlan.</w:t>
      </w:r>
    </w:p>
    <w:p w:rsidR="00A33FD5" w:rsidRPr="003977F2" w:rsidRDefault="00A33FD5" w:rsidP="00E51723">
      <w:pPr>
        <w:ind w:firstLine="1440"/>
        <w:jc w:val="both"/>
        <w:rPr>
          <w:rFonts w:ascii="Bookman Old Style" w:hAnsi="Bookman Old Style"/>
          <w:b/>
        </w:rPr>
      </w:pPr>
    </w:p>
    <w:p w:rsidR="00A33FD5" w:rsidRDefault="00A33FD5" w:rsidP="00E51723">
      <w:pPr>
        <w:jc w:val="center"/>
        <w:rPr>
          <w:rFonts w:ascii="Bookman Old Style" w:hAnsi="Bookman Old Style"/>
          <w:b/>
        </w:rPr>
      </w:pPr>
    </w:p>
    <w:p w:rsidR="00A33FD5" w:rsidRDefault="00A33FD5" w:rsidP="00E51723">
      <w:pPr>
        <w:jc w:val="center"/>
        <w:rPr>
          <w:rFonts w:ascii="Bookman Old Style" w:hAnsi="Bookman Old Style"/>
          <w:b/>
        </w:rPr>
      </w:pPr>
    </w:p>
    <w:p w:rsidR="00A33FD5" w:rsidRDefault="00A33FD5" w:rsidP="00E517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33FD5" w:rsidRDefault="00A33FD5" w:rsidP="00E51723">
      <w:pPr>
        <w:jc w:val="center"/>
        <w:rPr>
          <w:rFonts w:ascii="Bookman Old Style" w:hAnsi="Bookman Old Style"/>
          <w:b/>
        </w:rPr>
      </w:pPr>
    </w:p>
    <w:p w:rsidR="00A33FD5" w:rsidRDefault="00A33FD5" w:rsidP="00E51723">
      <w:pPr>
        <w:jc w:val="center"/>
        <w:rPr>
          <w:rFonts w:ascii="Bookman Old Style" w:hAnsi="Bookman Old Style"/>
          <w:b/>
        </w:rPr>
      </w:pPr>
    </w:p>
    <w:p w:rsidR="00A33FD5" w:rsidRDefault="00A33FD5" w:rsidP="00E51723">
      <w:pPr>
        <w:jc w:val="center"/>
        <w:rPr>
          <w:rFonts w:ascii="Bookman Old Style" w:hAnsi="Bookman Old Style"/>
          <w:b/>
        </w:rPr>
      </w:pPr>
    </w:p>
    <w:p w:rsidR="00A33FD5" w:rsidRDefault="00A33FD5" w:rsidP="00E5172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A33FD5" w:rsidRDefault="00A33FD5" w:rsidP="00E5172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A33FD5" w:rsidRPr="001751EC" w:rsidRDefault="00A33FD5" w:rsidP="00E51723">
      <w:pPr>
        <w:ind w:firstLine="1440"/>
        <w:jc w:val="both"/>
        <w:rPr>
          <w:rFonts w:ascii="Bookman Old Style" w:hAnsi="Bookman Old Style"/>
        </w:rPr>
      </w:pPr>
    </w:p>
    <w:p w:rsidR="00A33FD5" w:rsidRDefault="00A33FD5" w:rsidP="00E51723">
      <w:pPr>
        <w:ind w:firstLine="1440"/>
        <w:jc w:val="both"/>
        <w:outlineLvl w:val="0"/>
        <w:rPr>
          <w:rFonts w:ascii="Bookman Old Style" w:hAnsi="Bookman Old Style"/>
        </w:rPr>
      </w:pPr>
    </w:p>
    <w:p w:rsidR="00A33FD5" w:rsidRDefault="00A33FD5" w:rsidP="00E51723">
      <w:pPr>
        <w:ind w:firstLine="1440"/>
        <w:outlineLvl w:val="0"/>
        <w:rPr>
          <w:rFonts w:ascii="Bookman Old Style" w:hAnsi="Bookman Old Style"/>
        </w:rPr>
      </w:pPr>
    </w:p>
    <w:p w:rsidR="00A33FD5" w:rsidRDefault="00A33FD5" w:rsidP="00E51723">
      <w:pPr>
        <w:ind w:firstLine="1440"/>
        <w:outlineLvl w:val="0"/>
        <w:rPr>
          <w:rFonts w:ascii="Bookman Old Style" w:hAnsi="Bookman Old Style"/>
        </w:rPr>
      </w:pPr>
    </w:p>
    <w:p w:rsidR="00A33FD5" w:rsidRDefault="00A33FD5" w:rsidP="00E517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fevereiro de 2009.</w:t>
      </w:r>
    </w:p>
    <w:p w:rsidR="00A33FD5" w:rsidRDefault="00A33FD5">
      <w:pPr>
        <w:ind w:firstLine="1440"/>
        <w:rPr>
          <w:rFonts w:ascii="Bookman Old Style" w:hAnsi="Bookman Old Style"/>
        </w:rPr>
      </w:pPr>
    </w:p>
    <w:p w:rsidR="00A33FD5" w:rsidRDefault="00A33FD5">
      <w:pPr>
        <w:rPr>
          <w:rFonts w:ascii="Bookman Old Style" w:hAnsi="Bookman Old Style"/>
        </w:rPr>
      </w:pPr>
    </w:p>
    <w:p w:rsidR="00A33FD5" w:rsidRDefault="00A33FD5">
      <w:pPr>
        <w:ind w:firstLine="1440"/>
        <w:rPr>
          <w:rFonts w:ascii="Bookman Old Style" w:hAnsi="Bookman Old Style"/>
        </w:rPr>
      </w:pPr>
    </w:p>
    <w:p w:rsidR="00A33FD5" w:rsidRDefault="00A33FD5" w:rsidP="00E51723">
      <w:pPr>
        <w:jc w:val="center"/>
        <w:outlineLvl w:val="0"/>
        <w:rPr>
          <w:rFonts w:ascii="Bookman Old Style" w:hAnsi="Bookman Old Style"/>
          <w:b/>
        </w:rPr>
      </w:pPr>
    </w:p>
    <w:p w:rsidR="00A33FD5" w:rsidRDefault="00A33FD5" w:rsidP="00E517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A33FD5" w:rsidRDefault="00A33FD5" w:rsidP="00E517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A33FD5" w:rsidRDefault="00A33FD5" w:rsidP="00E517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PDT-</w:t>
      </w:r>
    </w:p>
    <w:p w:rsidR="00A33FD5" w:rsidRDefault="00A33FD5" w:rsidP="00E51723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723" w:rsidRDefault="00E51723">
      <w:r>
        <w:separator/>
      </w:r>
    </w:p>
  </w:endnote>
  <w:endnote w:type="continuationSeparator" w:id="0">
    <w:p w:rsidR="00E51723" w:rsidRDefault="00E5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723" w:rsidRDefault="00E51723">
      <w:r>
        <w:separator/>
      </w:r>
    </w:p>
  </w:footnote>
  <w:footnote w:type="continuationSeparator" w:id="0">
    <w:p w:rsidR="00E51723" w:rsidRDefault="00E51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33FD5"/>
    <w:rsid w:val="00A9035B"/>
    <w:rsid w:val="00CD613B"/>
    <w:rsid w:val="00E51723"/>
    <w:rsid w:val="00E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33FD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33FD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