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B0" w:rsidRPr="005809B0" w:rsidRDefault="005809B0" w:rsidP="00775BA5">
      <w:pPr>
        <w:pStyle w:val="Ttulo"/>
        <w:rPr>
          <w:sz w:val="26"/>
          <w:szCs w:val="26"/>
        </w:rPr>
      </w:pPr>
      <w:bookmarkStart w:id="0" w:name="_GoBack"/>
      <w:bookmarkEnd w:id="0"/>
      <w:r w:rsidRPr="005809B0">
        <w:rPr>
          <w:sz w:val="26"/>
          <w:szCs w:val="26"/>
        </w:rPr>
        <w:t>INDICAÇÃO Nº 388/09</w:t>
      </w:r>
    </w:p>
    <w:p w:rsidR="005809B0" w:rsidRPr="005809B0" w:rsidRDefault="005809B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5809B0" w:rsidRPr="005809B0" w:rsidRDefault="005809B0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5809B0" w:rsidRPr="005809B0" w:rsidRDefault="005809B0" w:rsidP="00775BA5">
      <w:pPr>
        <w:pStyle w:val="Recuodecorpodetexto"/>
        <w:ind w:left="4440"/>
        <w:rPr>
          <w:sz w:val="26"/>
          <w:szCs w:val="26"/>
        </w:rPr>
      </w:pPr>
      <w:r w:rsidRPr="005809B0">
        <w:rPr>
          <w:sz w:val="26"/>
          <w:szCs w:val="26"/>
        </w:rPr>
        <w:t>“Operação ‘tapa buracos’ na Rua dos Batatais, esquina com a Rua do Cacau, no Jardim Esmeralda.”</w:t>
      </w:r>
    </w:p>
    <w:p w:rsidR="005809B0" w:rsidRPr="005809B0" w:rsidRDefault="005809B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809B0" w:rsidRPr="005809B0" w:rsidRDefault="005809B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809B0" w:rsidRPr="005809B0" w:rsidRDefault="005809B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809B0" w:rsidRPr="005809B0" w:rsidRDefault="005809B0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809B0" w:rsidRPr="005809B0" w:rsidRDefault="005809B0" w:rsidP="00775BA5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5809B0">
        <w:rPr>
          <w:rFonts w:ascii="Bookman Old Style" w:hAnsi="Bookman Old Style"/>
          <w:b/>
          <w:bCs/>
          <w:sz w:val="26"/>
          <w:szCs w:val="26"/>
        </w:rPr>
        <w:t>INDICA</w:t>
      </w:r>
      <w:r w:rsidRPr="005809B0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operação tapa buracos na esquina supra citada.</w:t>
      </w:r>
    </w:p>
    <w:p w:rsidR="005809B0" w:rsidRPr="005809B0" w:rsidRDefault="005809B0" w:rsidP="00775B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809B0" w:rsidRPr="005809B0" w:rsidRDefault="005809B0" w:rsidP="00775B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809B0" w:rsidRPr="005809B0" w:rsidRDefault="005809B0" w:rsidP="00775B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809B0" w:rsidRPr="005809B0" w:rsidRDefault="005809B0" w:rsidP="00775BA5">
      <w:pPr>
        <w:jc w:val="center"/>
        <w:rPr>
          <w:rFonts w:ascii="Bookman Old Style" w:hAnsi="Bookman Old Style"/>
          <w:b/>
          <w:sz w:val="26"/>
          <w:szCs w:val="26"/>
        </w:rPr>
      </w:pPr>
      <w:r w:rsidRPr="005809B0">
        <w:rPr>
          <w:rFonts w:ascii="Bookman Old Style" w:hAnsi="Bookman Old Style"/>
          <w:b/>
          <w:sz w:val="26"/>
          <w:szCs w:val="26"/>
        </w:rPr>
        <w:t>Justificativa:</w:t>
      </w:r>
    </w:p>
    <w:p w:rsidR="005809B0" w:rsidRPr="005809B0" w:rsidRDefault="005809B0" w:rsidP="00775B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809B0" w:rsidRPr="005809B0" w:rsidRDefault="005809B0" w:rsidP="00775B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809B0" w:rsidRPr="005809B0" w:rsidRDefault="005809B0" w:rsidP="00775BA5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809B0" w:rsidRPr="005809B0" w:rsidRDefault="005809B0" w:rsidP="00775BA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809B0">
        <w:rPr>
          <w:rFonts w:ascii="Bookman Old Style" w:hAnsi="Bookman Old Style"/>
          <w:sz w:val="26"/>
          <w:szCs w:val="26"/>
        </w:rPr>
        <w:t>Por se tratar de um cruzamento de grande fluxo de veículos e pedestres, os moradores temem que ao tentar desviar de algum buraco, motoristas venham a causar acidentes atingindo pessoas que aguardam para efetuar a travessia.</w:t>
      </w:r>
    </w:p>
    <w:p w:rsidR="005809B0" w:rsidRPr="005809B0" w:rsidRDefault="005809B0" w:rsidP="00775BA5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809B0">
        <w:rPr>
          <w:rFonts w:ascii="Bookman Old Style" w:hAnsi="Bookman Old Style"/>
          <w:sz w:val="26"/>
          <w:szCs w:val="26"/>
        </w:rPr>
        <w:t xml:space="preserve">  </w:t>
      </w:r>
    </w:p>
    <w:p w:rsidR="005809B0" w:rsidRPr="005809B0" w:rsidRDefault="005809B0" w:rsidP="00775BA5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5809B0" w:rsidRPr="005809B0" w:rsidRDefault="005809B0" w:rsidP="00775BA5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5809B0" w:rsidRPr="005809B0" w:rsidRDefault="005809B0" w:rsidP="00775BA5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5809B0" w:rsidRPr="005809B0" w:rsidRDefault="005809B0" w:rsidP="00775BA5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5809B0">
        <w:rPr>
          <w:rFonts w:ascii="Bookman Old Style" w:hAnsi="Bookman Old Style"/>
          <w:sz w:val="26"/>
          <w:szCs w:val="26"/>
        </w:rPr>
        <w:t>Plenário “Dr. Tancredo Neves”, em 15 de maio de 2009.</w:t>
      </w:r>
    </w:p>
    <w:p w:rsidR="005809B0" w:rsidRPr="005809B0" w:rsidRDefault="005809B0">
      <w:pPr>
        <w:ind w:firstLine="1440"/>
        <w:rPr>
          <w:rFonts w:ascii="Bookman Old Style" w:hAnsi="Bookman Old Style"/>
          <w:sz w:val="26"/>
          <w:szCs w:val="26"/>
        </w:rPr>
      </w:pPr>
    </w:p>
    <w:p w:rsidR="005809B0" w:rsidRPr="005809B0" w:rsidRDefault="005809B0">
      <w:pPr>
        <w:rPr>
          <w:rFonts w:ascii="Bookman Old Style" w:hAnsi="Bookman Old Style"/>
          <w:sz w:val="26"/>
          <w:szCs w:val="26"/>
        </w:rPr>
      </w:pPr>
    </w:p>
    <w:p w:rsidR="005809B0" w:rsidRPr="005809B0" w:rsidRDefault="005809B0">
      <w:pPr>
        <w:ind w:firstLine="1440"/>
        <w:rPr>
          <w:rFonts w:ascii="Bookman Old Style" w:hAnsi="Bookman Old Style"/>
          <w:sz w:val="26"/>
          <w:szCs w:val="26"/>
        </w:rPr>
      </w:pPr>
    </w:p>
    <w:p w:rsidR="005809B0" w:rsidRPr="005809B0" w:rsidRDefault="005809B0" w:rsidP="00775BA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5809B0" w:rsidRPr="005809B0" w:rsidRDefault="005809B0" w:rsidP="00775BA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5809B0">
        <w:rPr>
          <w:rFonts w:ascii="Bookman Old Style" w:hAnsi="Bookman Old Style"/>
          <w:b/>
          <w:sz w:val="26"/>
          <w:szCs w:val="26"/>
        </w:rPr>
        <w:t>Danilo Godoy</w:t>
      </w:r>
    </w:p>
    <w:p w:rsidR="005809B0" w:rsidRPr="005809B0" w:rsidRDefault="005809B0" w:rsidP="00775BA5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5809B0">
        <w:rPr>
          <w:rFonts w:ascii="Bookman Old Style" w:hAnsi="Bookman Old Style"/>
          <w:b/>
          <w:sz w:val="26"/>
          <w:szCs w:val="26"/>
        </w:rPr>
        <w:t>PSDB</w:t>
      </w:r>
    </w:p>
    <w:p w:rsidR="005809B0" w:rsidRPr="005809B0" w:rsidRDefault="005809B0" w:rsidP="00775BA5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5809B0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A5" w:rsidRDefault="00775BA5">
      <w:r>
        <w:separator/>
      </w:r>
    </w:p>
  </w:endnote>
  <w:endnote w:type="continuationSeparator" w:id="0">
    <w:p w:rsidR="00775BA5" w:rsidRDefault="0077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A5" w:rsidRDefault="00775BA5">
      <w:r>
        <w:separator/>
      </w:r>
    </w:p>
  </w:footnote>
  <w:footnote w:type="continuationSeparator" w:id="0">
    <w:p w:rsidR="00775BA5" w:rsidRDefault="0077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388C"/>
    <w:rsid w:val="003D3AA8"/>
    <w:rsid w:val="004C67DE"/>
    <w:rsid w:val="005809B0"/>
    <w:rsid w:val="00775B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09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09B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