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C0" w:rsidRPr="009F5BC0" w:rsidRDefault="009F5BC0" w:rsidP="009F5BC0">
      <w:pPr>
        <w:pStyle w:val="Ttulo"/>
      </w:pPr>
      <w:bookmarkStart w:id="0" w:name="_GoBack"/>
      <w:bookmarkEnd w:id="0"/>
      <w:r w:rsidRPr="009F5BC0">
        <w:t>INDICAÇÃO Nº 496/09</w:t>
      </w:r>
    </w:p>
    <w:p w:rsidR="009F5BC0" w:rsidRPr="009F5BC0" w:rsidRDefault="009F5BC0" w:rsidP="009F5B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F5BC0" w:rsidRPr="009F5BC0" w:rsidRDefault="009F5BC0" w:rsidP="009F5B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F5BC0" w:rsidRPr="009F5BC0" w:rsidRDefault="009F5BC0" w:rsidP="009F5BC0">
      <w:pPr>
        <w:pStyle w:val="Recuodecorpodetexto"/>
        <w:ind w:left="4440"/>
      </w:pPr>
      <w:r w:rsidRPr="009F5BC0">
        <w:t>“Referente à pintura e marcação das rampas de acesso a deficiente físico e meio-fio, na Praça da Migração, localizada no Bairro Jardim Pérola”.</w:t>
      </w:r>
    </w:p>
    <w:p w:rsidR="009F5BC0" w:rsidRPr="009F5BC0" w:rsidRDefault="009F5BC0" w:rsidP="009F5B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F5BC0" w:rsidRPr="009F5BC0" w:rsidRDefault="009F5BC0" w:rsidP="009F5B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F5BC0" w:rsidRPr="009F5BC0" w:rsidRDefault="009F5BC0" w:rsidP="009F5B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F5BC0" w:rsidRPr="009F5BC0" w:rsidRDefault="009F5BC0" w:rsidP="009F5B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F5BC0" w:rsidRPr="009F5BC0" w:rsidRDefault="009F5BC0" w:rsidP="009F5BC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F5BC0">
        <w:rPr>
          <w:rFonts w:ascii="Bookman Old Style" w:hAnsi="Bookman Old Style"/>
          <w:b/>
          <w:sz w:val="24"/>
          <w:szCs w:val="24"/>
        </w:rPr>
        <w:t>INDICA</w:t>
      </w:r>
      <w:r w:rsidRPr="009F5BC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pintura e marcação das rampas de acesso a deficiente físico e meio-fio, na Praça da Migração, localizada no Bairro Jardim Pérola.</w:t>
      </w:r>
    </w:p>
    <w:p w:rsidR="009F5BC0" w:rsidRPr="009F5BC0" w:rsidRDefault="009F5BC0" w:rsidP="009F5B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5BC0" w:rsidRPr="009F5BC0" w:rsidRDefault="009F5BC0" w:rsidP="009F5B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5BC0" w:rsidRPr="009F5BC0" w:rsidRDefault="009F5BC0" w:rsidP="009F5B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5BC0" w:rsidRPr="009F5BC0" w:rsidRDefault="009F5BC0" w:rsidP="009F5BC0">
      <w:pPr>
        <w:jc w:val="center"/>
        <w:rPr>
          <w:rFonts w:ascii="Bookman Old Style" w:hAnsi="Bookman Old Style"/>
          <w:b/>
          <w:sz w:val="24"/>
          <w:szCs w:val="24"/>
        </w:rPr>
      </w:pPr>
      <w:r w:rsidRPr="009F5BC0">
        <w:rPr>
          <w:rFonts w:ascii="Bookman Old Style" w:hAnsi="Bookman Old Style"/>
          <w:b/>
          <w:sz w:val="24"/>
          <w:szCs w:val="24"/>
        </w:rPr>
        <w:t>Justificativa:</w:t>
      </w:r>
    </w:p>
    <w:p w:rsidR="009F5BC0" w:rsidRPr="009F5BC0" w:rsidRDefault="009F5BC0" w:rsidP="009F5B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5BC0" w:rsidRPr="009F5BC0" w:rsidRDefault="009F5BC0" w:rsidP="009F5B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5BC0" w:rsidRPr="009F5BC0" w:rsidRDefault="009F5BC0" w:rsidP="009F5B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5BC0" w:rsidRPr="009F5BC0" w:rsidRDefault="009F5BC0" w:rsidP="009F5B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5BC0" w:rsidRPr="009F5BC0" w:rsidRDefault="009F5BC0" w:rsidP="009F5BC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F5BC0">
        <w:rPr>
          <w:rFonts w:ascii="Bookman Old Style" w:hAnsi="Bookman Old Style"/>
          <w:sz w:val="24"/>
          <w:szCs w:val="24"/>
        </w:rPr>
        <w:t xml:space="preserve">Munícipes procuraram este vereador cobrando providências no sentido que sejam pintadas e marcado as rampas de acesso a deficiente físico e o meio-fio, na Praça da Migração, localizada no Bairro Jardim Pérola. </w:t>
      </w:r>
    </w:p>
    <w:p w:rsidR="009F5BC0" w:rsidRPr="009F5BC0" w:rsidRDefault="009F5BC0" w:rsidP="009F5BC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F5BC0">
        <w:rPr>
          <w:rFonts w:ascii="Bookman Old Style" w:hAnsi="Bookman Old Style"/>
          <w:sz w:val="24"/>
          <w:szCs w:val="24"/>
        </w:rPr>
        <w:t xml:space="preserve"> </w:t>
      </w:r>
    </w:p>
    <w:p w:rsidR="009F5BC0" w:rsidRPr="009F5BC0" w:rsidRDefault="009F5BC0" w:rsidP="009F5BC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F5BC0" w:rsidRPr="009F5BC0" w:rsidRDefault="009F5BC0" w:rsidP="009F5BC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F5BC0" w:rsidRPr="009F5BC0" w:rsidRDefault="009F5BC0" w:rsidP="009F5BC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F5BC0" w:rsidRPr="009F5BC0" w:rsidRDefault="009F5BC0" w:rsidP="009F5BC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F5BC0" w:rsidRPr="009F5BC0" w:rsidRDefault="009F5BC0" w:rsidP="009F5BC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F5BC0">
        <w:rPr>
          <w:rFonts w:ascii="Bookman Old Style" w:hAnsi="Bookman Old Style"/>
          <w:sz w:val="24"/>
          <w:szCs w:val="24"/>
        </w:rPr>
        <w:t>Plenário “Dr. Tancredo Neves”, em 04 de junho de 2009.</w:t>
      </w:r>
    </w:p>
    <w:p w:rsidR="009F5BC0" w:rsidRPr="009F5BC0" w:rsidRDefault="009F5BC0" w:rsidP="009F5BC0">
      <w:pPr>
        <w:ind w:firstLine="1440"/>
        <w:rPr>
          <w:rFonts w:ascii="Bookman Old Style" w:hAnsi="Bookman Old Style"/>
          <w:sz w:val="24"/>
          <w:szCs w:val="24"/>
        </w:rPr>
      </w:pPr>
    </w:p>
    <w:p w:rsidR="009F5BC0" w:rsidRPr="009F5BC0" w:rsidRDefault="009F5BC0" w:rsidP="009F5BC0">
      <w:pPr>
        <w:ind w:firstLine="1440"/>
        <w:rPr>
          <w:rFonts w:ascii="Bookman Old Style" w:hAnsi="Bookman Old Style"/>
          <w:sz w:val="24"/>
          <w:szCs w:val="24"/>
        </w:rPr>
      </w:pPr>
    </w:p>
    <w:p w:rsidR="009F5BC0" w:rsidRPr="009F5BC0" w:rsidRDefault="009F5BC0" w:rsidP="009F5BC0">
      <w:pPr>
        <w:rPr>
          <w:rFonts w:ascii="Bookman Old Style" w:hAnsi="Bookman Old Style"/>
          <w:sz w:val="24"/>
          <w:szCs w:val="24"/>
        </w:rPr>
      </w:pPr>
    </w:p>
    <w:p w:rsidR="009F5BC0" w:rsidRPr="009F5BC0" w:rsidRDefault="009F5BC0" w:rsidP="009F5BC0">
      <w:pPr>
        <w:ind w:firstLine="1440"/>
        <w:rPr>
          <w:rFonts w:ascii="Bookman Old Style" w:hAnsi="Bookman Old Style"/>
          <w:sz w:val="24"/>
          <w:szCs w:val="24"/>
        </w:rPr>
      </w:pPr>
    </w:p>
    <w:p w:rsidR="009F5BC0" w:rsidRPr="009F5BC0" w:rsidRDefault="009F5BC0" w:rsidP="009F5BC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F5BC0">
        <w:rPr>
          <w:rFonts w:ascii="Bookman Old Style" w:hAnsi="Bookman Old Style"/>
          <w:b/>
          <w:sz w:val="24"/>
          <w:szCs w:val="24"/>
        </w:rPr>
        <w:t>FABIANO W. RUIZ MARTINEZ</w:t>
      </w:r>
    </w:p>
    <w:p w:rsidR="009F5BC0" w:rsidRPr="009F5BC0" w:rsidRDefault="009F5BC0" w:rsidP="009F5B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F5BC0">
        <w:rPr>
          <w:rFonts w:ascii="Bookman Old Style" w:hAnsi="Bookman Old Style"/>
          <w:sz w:val="24"/>
          <w:szCs w:val="24"/>
        </w:rPr>
        <w:t>“</w:t>
      </w:r>
      <w:r w:rsidRPr="009F5BC0">
        <w:rPr>
          <w:rFonts w:ascii="Bookman Old Style" w:hAnsi="Bookman Old Style"/>
          <w:b/>
          <w:sz w:val="24"/>
          <w:szCs w:val="24"/>
        </w:rPr>
        <w:t>PINGUIM”</w:t>
      </w:r>
    </w:p>
    <w:p w:rsidR="009F5BC0" w:rsidRPr="009F5BC0" w:rsidRDefault="009F5BC0" w:rsidP="009F5B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F5BC0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9F5BC0" w:rsidRDefault="009F196D" w:rsidP="00CD613B">
      <w:pPr>
        <w:rPr>
          <w:sz w:val="24"/>
          <w:szCs w:val="24"/>
        </w:rPr>
      </w:pPr>
    </w:p>
    <w:sectPr w:rsidR="009F196D" w:rsidRPr="009F5B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67" w:rsidRDefault="003F7367">
      <w:r>
        <w:separator/>
      </w:r>
    </w:p>
  </w:endnote>
  <w:endnote w:type="continuationSeparator" w:id="0">
    <w:p w:rsidR="003F7367" w:rsidRDefault="003F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67" w:rsidRDefault="003F7367">
      <w:r>
        <w:separator/>
      </w:r>
    </w:p>
  </w:footnote>
  <w:footnote w:type="continuationSeparator" w:id="0">
    <w:p w:rsidR="003F7367" w:rsidRDefault="003F7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7367"/>
    <w:rsid w:val="004C67DE"/>
    <w:rsid w:val="009F196D"/>
    <w:rsid w:val="009F5BC0"/>
    <w:rsid w:val="00A9035B"/>
    <w:rsid w:val="00C1735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5B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F5BC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