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DF2FA1">
        <w:t>01674</w:t>
      </w:r>
      <w:r>
        <w:t>/</w:t>
      </w:r>
      <w:r w:rsidR="00DF2FA1">
        <w:t>2009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DF2FA1">
        <w:t>Manutenção da iluminação pública na Rua Plácido Ribeiro Ferreira, na altura do número 17, no Bairro Parque Zabani.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DF2FA1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A7" w:rsidRDefault="003517A7">
      <w:r>
        <w:separator/>
      </w:r>
    </w:p>
  </w:endnote>
  <w:endnote w:type="continuationSeparator" w:id="0">
    <w:p w:rsidR="003517A7" w:rsidRDefault="0035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A7" w:rsidRDefault="003517A7">
      <w:r>
        <w:separator/>
      </w:r>
    </w:p>
  </w:footnote>
  <w:footnote w:type="continuationSeparator" w:id="0">
    <w:p w:rsidR="003517A7" w:rsidRDefault="0035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17A7"/>
    <w:rsid w:val="003D3AA8"/>
    <w:rsid w:val="004C67DE"/>
    <w:rsid w:val="009F196D"/>
    <w:rsid w:val="00A9035B"/>
    <w:rsid w:val="00CD613B"/>
    <w:rsid w:val="00DF2FA1"/>
    <w:rsid w:val="00E12D33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