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C0" w:rsidRPr="00E15CC0" w:rsidRDefault="00E15CC0">
      <w:pPr>
        <w:pStyle w:val="Ttulo"/>
      </w:pPr>
      <w:bookmarkStart w:id="0" w:name="_GoBack"/>
      <w:bookmarkEnd w:id="0"/>
      <w:r w:rsidRPr="00E15CC0">
        <w:t>INDICAÇÃO Nº 1718/09</w:t>
      </w:r>
    </w:p>
    <w:p w:rsidR="00E15CC0" w:rsidRPr="00E15CC0" w:rsidRDefault="00E15CC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15CC0" w:rsidRPr="00E15CC0" w:rsidRDefault="00E15CC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15CC0" w:rsidRPr="00E15CC0" w:rsidRDefault="00E15CC0" w:rsidP="008F44B7">
      <w:pPr>
        <w:pStyle w:val="Recuodecorpodetexto"/>
        <w:ind w:left="4440"/>
      </w:pPr>
      <w:r w:rsidRPr="00E15CC0">
        <w:t>“Possibilidade de se fazer a construção de um muro ao redor do Cemitério da Saudade (Cabreúva) localizado entre a Avenida da Saudade, Rua Mato Grosso, Rua Amapá, Rua Sergipe, Rua Euzébio de Queiroz e Rua Fioravante L. Angolini, no bairro Vila Grego II”.</w:t>
      </w:r>
    </w:p>
    <w:p w:rsidR="00E15CC0" w:rsidRPr="00E15CC0" w:rsidRDefault="00E15CC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15CC0" w:rsidRPr="00E15CC0" w:rsidRDefault="00E15CC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15CC0" w:rsidRPr="00E15CC0" w:rsidRDefault="00E15CC0" w:rsidP="008F44B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15CC0">
        <w:rPr>
          <w:rFonts w:ascii="Bookman Old Style" w:hAnsi="Bookman Old Style"/>
          <w:b/>
          <w:bCs/>
          <w:sz w:val="24"/>
          <w:szCs w:val="24"/>
        </w:rPr>
        <w:t>INDICA</w:t>
      </w:r>
      <w:r w:rsidRPr="00E15CC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possibilidade de se fazer a construção de um muro ao redor do Cemitério da Saudade (Cabreúva) localizado entre a Avenida da Saudade, Rua Mato Grosso, Rua Amapá, Rua Sergipe, Rua Euzébio de Queiroz e Rua Fioravante L. Angolini, no bairro Vila Grego II.</w:t>
      </w:r>
    </w:p>
    <w:p w:rsidR="00E15CC0" w:rsidRPr="00E15CC0" w:rsidRDefault="00E15CC0" w:rsidP="008F44B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15CC0" w:rsidRPr="00E15CC0" w:rsidRDefault="00E15CC0" w:rsidP="008F44B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15CC0" w:rsidRPr="00E15CC0" w:rsidRDefault="00E15CC0" w:rsidP="008F44B7">
      <w:pPr>
        <w:jc w:val="center"/>
        <w:rPr>
          <w:rFonts w:ascii="Bookman Old Style" w:hAnsi="Bookman Old Style"/>
          <w:b/>
          <w:sz w:val="24"/>
          <w:szCs w:val="24"/>
        </w:rPr>
      </w:pPr>
      <w:r w:rsidRPr="00E15CC0">
        <w:rPr>
          <w:rFonts w:ascii="Bookman Old Style" w:hAnsi="Bookman Old Style"/>
          <w:b/>
          <w:sz w:val="24"/>
          <w:szCs w:val="24"/>
        </w:rPr>
        <w:t>Justificativa:</w:t>
      </w:r>
    </w:p>
    <w:p w:rsidR="00E15CC0" w:rsidRPr="00E15CC0" w:rsidRDefault="00E15CC0" w:rsidP="008F44B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15CC0" w:rsidRPr="00E15CC0" w:rsidRDefault="00E15CC0" w:rsidP="008F44B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15CC0" w:rsidRPr="00E15CC0" w:rsidRDefault="00E15CC0" w:rsidP="008F44B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15CC0">
        <w:rPr>
          <w:rFonts w:ascii="Bookman Old Style" w:hAnsi="Bookman Old Style"/>
          <w:sz w:val="24"/>
          <w:szCs w:val="24"/>
        </w:rPr>
        <w:t>Em uma visita feita por este vereador, os munícipes pediram providências, pois está gerando desconforto aos moradores vizinhos do cemitério.</w:t>
      </w:r>
    </w:p>
    <w:p w:rsidR="00E15CC0" w:rsidRPr="00E15CC0" w:rsidRDefault="00E15CC0" w:rsidP="008F44B7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15CC0" w:rsidRPr="00E15CC0" w:rsidRDefault="00E15CC0" w:rsidP="008F44B7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15CC0" w:rsidRPr="00E15CC0" w:rsidRDefault="00E15CC0" w:rsidP="008F44B7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15CC0" w:rsidRPr="00E15CC0" w:rsidRDefault="00E15CC0" w:rsidP="008F44B7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15CC0" w:rsidRPr="00E15CC0" w:rsidRDefault="00E15CC0" w:rsidP="008F44B7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15CC0" w:rsidRPr="00E15CC0" w:rsidRDefault="00E15CC0" w:rsidP="008F44B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15CC0">
        <w:rPr>
          <w:rFonts w:ascii="Bookman Old Style" w:hAnsi="Bookman Old Style"/>
          <w:sz w:val="24"/>
          <w:szCs w:val="24"/>
        </w:rPr>
        <w:t>Plenário “Dr. Tancredo Neves”, em 11 de dezembro de 2009.</w:t>
      </w:r>
    </w:p>
    <w:p w:rsidR="00E15CC0" w:rsidRPr="00E15CC0" w:rsidRDefault="00E15CC0">
      <w:pPr>
        <w:ind w:firstLine="1440"/>
        <w:rPr>
          <w:rFonts w:ascii="Bookman Old Style" w:hAnsi="Bookman Old Style"/>
          <w:sz w:val="24"/>
          <w:szCs w:val="24"/>
        </w:rPr>
      </w:pPr>
    </w:p>
    <w:p w:rsidR="00E15CC0" w:rsidRPr="00E15CC0" w:rsidRDefault="00E15CC0">
      <w:pPr>
        <w:rPr>
          <w:rFonts w:ascii="Bookman Old Style" w:hAnsi="Bookman Old Style"/>
          <w:sz w:val="24"/>
          <w:szCs w:val="24"/>
        </w:rPr>
      </w:pPr>
    </w:p>
    <w:p w:rsidR="00E15CC0" w:rsidRPr="00E15CC0" w:rsidRDefault="00E15CC0">
      <w:pPr>
        <w:ind w:firstLine="1440"/>
        <w:rPr>
          <w:rFonts w:ascii="Bookman Old Style" w:hAnsi="Bookman Old Style"/>
          <w:sz w:val="24"/>
          <w:szCs w:val="24"/>
        </w:rPr>
      </w:pPr>
    </w:p>
    <w:p w:rsidR="00E15CC0" w:rsidRPr="00E15CC0" w:rsidRDefault="00E15CC0">
      <w:pPr>
        <w:ind w:firstLine="1440"/>
        <w:rPr>
          <w:rFonts w:ascii="Bookman Old Style" w:hAnsi="Bookman Old Style"/>
          <w:sz w:val="24"/>
          <w:szCs w:val="24"/>
        </w:rPr>
      </w:pPr>
    </w:p>
    <w:p w:rsidR="00E15CC0" w:rsidRPr="00E15CC0" w:rsidRDefault="00E15CC0">
      <w:pPr>
        <w:ind w:firstLine="1440"/>
        <w:rPr>
          <w:rFonts w:ascii="Bookman Old Style" w:hAnsi="Bookman Old Style"/>
          <w:sz w:val="24"/>
          <w:szCs w:val="24"/>
        </w:rPr>
      </w:pPr>
    </w:p>
    <w:p w:rsidR="00E15CC0" w:rsidRPr="00E15CC0" w:rsidRDefault="00E15CC0" w:rsidP="008F44B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15CC0">
        <w:rPr>
          <w:rFonts w:ascii="Bookman Old Style" w:hAnsi="Bookman Old Style"/>
          <w:b/>
          <w:sz w:val="24"/>
          <w:szCs w:val="24"/>
        </w:rPr>
        <w:t>ADEMIR DA SILVA</w:t>
      </w:r>
    </w:p>
    <w:p w:rsidR="00E15CC0" w:rsidRPr="00E15CC0" w:rsidRDefault="00E15CC0" w:rsidP="008F44B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15CC0">
        <w:rPr>
          <w:rFonts w:ascii="Bookman Old Style" w:hAnsi="Bookman Old Style"/>
          <w:sz w:val="24"/>
          <w:szCs w:val="24"/>
        </w:rPr>
        <w:t>-vereador-</w:t>
      </w:r>
    </w:p>
    <w:p w:rsidR="009F196D" w:rsidRPr="00E15CC0" w:rsidRDefault="009F196D" w:rsidP="00CD613B">
      <w:pPr>
        <w:rPr>
          <w:sz w:val="24"/>
          <w:szCs w:val="24"/>
        </w:rPr>
      </w:pPr>
    </w:p>
    <w:sectPr w:rsidR="009F196D" w:rsidRPr="00E15CC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B7" w:rsidRDefault="008F44B7">
      <w:r>
        <w:separator/>
      </w:r>
    </w:p>
  </w:endnote>
  <w:endnote w:type="continuationSeparator" w:id="0">
    <w:p w:rsidR="008F44B7" w:rsidRDefault="008F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B7" w:rsidRDefault="008F44B7">
      <w:r>
        <w:separator/>
      </w:r>
    </w:p>
  </w:footnote>
  <w:footnote w:type="continuationSeparator" w:id="0">
    <w:p w:rsidR="008F44B7" w:rsidRDefault="008F4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F44B7"/>
    <w:rsid w:val="009F196D"/>
    <w:rsid w:val="00A9035B"/>
    <w:rsid w:val="00CD613B"/>
    <w:rsid w:val="00E15CC0"/>
    <w:rsid w:val="00E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15C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15CC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