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D6" w:rsidRPr="00710BD6" w:rsidRDefault="00710BD6" w:rsidP="00920C78">
      <w:pPr>
        <w:pStyle w:val="Ttulo"/>
      </w:pPr>
      <w:bookmarkStart w:id="0" w:name="_GoBack"/>
      <w:bookmarkEnd w:id="0"/>
    </w:p>
    <w:p w:rsidR="00710BD6" w:rsidRPr="00710BD6" w:rsidRDefault="00710BD6" w:rsidP="00920C78">
      <w:pPr>
        <w:pStyle w:val="Ttulo"/>
      </w:pPr>
      <w:r w:rsidRPr="00710BD6">
        <w:t>INDICAÇÃO Nº 325/10</w:t>
      </w:r>
    </w:p>
    <w:p w:rsidR="00710BD6" w:rsidRPr="00710BD6" w:rsidRDefault="00710B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10BD6" w:rsidRPr="00710BD6" w:rsidRDefault="00710B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10BD6" w:rsidRPr="00710BD6" w:rsidRDefault="00710BD6" w:rsidP="00920C78">
      <w:pPr>
        <w:pStyle w:val="Recuodecorpodetexto"/>
        <w:ind w:left="4440"/>
      </w:pPr>
      <w:r w:rsidRPr="00710BD6">
        <w:t>“Substituição de poste de madeira por poste de concreto, localizado na Rua Euclides da Cunha esquina com a Rua Antônio Teixeira de Miranda, bairro Santa Rita de Cássia.”</w:t>
      </w:r>
    </w:p>
    <w:p w:rsidR="00710BD6" w:rsidRPr="00710BD6" w:rsidRDefault="00710B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10BD6" w:rsidRPr="00710BD6" w:rsidRDefault="00710B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10BD6" w:rsidRPr="00710BD6" w:rsidRDefault="00710BD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10BD6" w:rsidRPr="00710BD6" w:rsidRDefault="00710BD6" w:rsidP="00920C7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10BD6">
        <w:rPr>
          <w:rFonts w:ascii="Bookman Old Style" w:hAnsi="Bookman Old Style"/>
          <w:b/>
          <w:bCs/>
          <w:sz w:val="24"/>
          <w:szCs w:val="24"/>
        </w:rPr>
        <w:t>INDICA</w:t>
      </w:r>
      <w:r w:rsidRPr="00710BD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troca de poste de madeira por poste de concreto localizado n Rua Euclides da Cunha esquina com a Rua Antônio Teixeira de Miranda, no bairro Santa Rita de Cássia.</w:t>
      </w:r>
    </w:p>
    <w:p w:rsidR="00710BD6" w:rsidRPr="00710BD6" w:rsidRDefault="00710BD6" w:rsidP="00920C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0BD6" w:rsidRPr="00710BD6" w:rsidRDefault="00710BD6" w:rsidP="00920C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0BD6" w:rsidRPr="00710BD6" w:rsidRDefault="00710BD6" w:rsidP="00920C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10BD6" w:rsidRPr="00710BD6" w:rsidRDefault="00710BD6" w:rsidP="00920C78">
      <w:pPr>
        <w:jc w:val="center"/>
        <w:rPr>
          <w:rFonts w:ascii="Bookman Old Style" w:hAnsi="Bookman Old Style"/>
          <w:b/>
          <w:sz w:val="24"/>
          <w:szCs w:val="24"/>
        </w:rPr>
      </w:pPr>
      <w:r w:rsidRPr="00710BD6">
        <w:rPr>
          <w:rFonts w:ascii="Bookman Old Style" w:hAnsi="Bookman Old Style"/>
          <w:b/>
          <w:sz w:val="24"/>
          <w:szCs w:val="24"/>
        </w:rPr>
        <w:t>Justificativa:</w:t>
      </w:r>
    </w:p>
    <w:p w:rsidR="00710BD6" w:rsidRPr="00710BD6" w:rsidRDefault="00710BD6" w:rsidP="00920C7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10BD6" w:rsidRPr="00710BD6" w:rsidRDefault="00710BD6" w:rsidP="00920C7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10BD6" w:rsidRPr="00710BD6" w:rsidRDefault="00710BD6" w:rsidP="00920C78">
      <w:pPr>
        <w:ind w:firstLine="1320"/>
        <w:jc w:val="both"/>
        <w:rPr>
          <w:rFonts w:ascii="Bookman Old Style" w:hAnsi="Bookman Old Style"/>
          <w:sz w:val="24"/>
          <w:szCs w:val="24"/>
        </w:rPr>
      </w:pPr>
      <w:r w:rsidRPr="00710BD6">
        <w:rPr>
          <w:rFonts w:ascii="Bookman Old Style" w:hAnsi="Bookman Old Style"/>
          <w:sz w:val="24"/>
          <w:szCs w:val="24"/>
        </w:rPr>
        <w:t xml:space="preserve">Referido poste de madeira encontra-se em péssimas condições, pois está apodrecendo pelas chuvas constantes de verão, portanto podendo cair a qualquer momento, e causar um acidente. Por está razão e que moradores pedem a troca. </w:t>
      </w:r>
    </w:p>
    <w:p w:rsidR="00710BD6" w:rsidRPr="00710BD6" w:rsidRDefault="00710BD6" w:rsidP="00920C78">
      <w:pPr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710BD6" w:rsidRPr="00710BD6" w:rsidRDefault="00710BD6" w:rsidP="00920C78">
      <w:pPr>
        <w:jc w:val="both"/>
        <w:rPr>
          <w:rFonts w:ascii="Bookman Old Style" w:hAnsi="Bookman Old Style"/>
          <w:sz w:val="24"/>
          <w:szCs w:val="24"/>
        </w:rPr>
      </w:pPr>
      <w:r w:rsidRPr="00710BD6">
        <w:rPr>
          <w:rFonts w:ascii="Bookman Old Style" w:hAnsi="Bookman Old Style"/>
          <w:sz w:val="24"/>
          <w:szCs w:val="24"/>
        </w:rPr>
        <w:t xml:space="preserve">          </w:t>
      </w:r>
      <w:r w:rsidRPr="00710BD6">
        <w:rPr>
          <w:rFonts w:ascii="Bookman Old Style" w:hAnsi="Bookman Old Style"/>
          <w:sz w:val="24"/>
          <w:szCs w:val="24"/>
        </w:rPr>
        <w:tab/>
      </w:r>
    </w:p>
    <w:p w:rsidR="00710BD6" w:rsidRPr="00710BD6" w:rsidRDefault="00710BD6" w:rsidP="00920C7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710BD6" w:rsidRPr="00710BD6" w:rsidRDefault="00710BD6" w:rsidP="00920C7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10BD6" w:rsidRPr="00710BD6" w:rsidRDefault="00710BD6" w:rsidP="00920C7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10BD6" w:rsidRPr="00710BD6" w:rsidRDefault="00710BD6" w:rsidP="00920C7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10BD6">
        <w:rPr>
          <w:rFonts w:ascii="Bookman Old Style" w:hAnsi="Bookman Old Style"/>
          <w:sz w:val="24"/>
          <w:szCs w:val="24"/>
        </w:rPr>
        <w:t>Plenário “Dr. Tancredo Neves”, em 29 de janeiro de 2010.</w:t>
      </w:r>
    </w:p>
    <w:p w:rsidR="00710BD6" w:rsidRPr="00710BD6" w:rsidRDefault="00710BD6">
      <w:pPr>
        <w:ind w:firstLine="1440"/>
        <w:rPr>
          <w:rFonts w:ascii="Bookman Old Style" w:hAnsi="Bookman Old Style"/>
          <w:sz w:val="24"/>
          <w:szCs w:val="24"/>
        </w:rPr>
      </w:pPr>
    </w:p>
    <w:p w:rsidR="00710BD6" w:rsidRPr="00710BD6" w:rsidRDefault="00710BD6">
      <w:pPr>
        <w:rPr>
          <w:rFonts w:ascii="Bookman Old Style" w:hAnsi="Bookman Old Style"/>
          <w:sz w:val="24"/>
          <w:szCs w:val="24"/>
        </w:rPr>
      </w:pPr>
    </w:p>
    <w:p w:rsidR="00710BD6" w:rsidRPr="00710BD6" w:rsidRDefault="00710BD6">
      <w:pPr>
        <w:ind w:firstLine="1440"/>
        <w:rPr>
          <w:rFonts w:ascii="Bookman Old Style" w:hAnsi="Bookman Old Style"/>
          <w:sz w:val="24"/>
          <w:szCs w:val="24"/>
        </w:rPr>
      </w:pPr>
    </w:p>
    <w:p w:rsidR="00710BD6" w:rsidRPr="00710BD6" w:rsidRDefault="00710BD6" w:rsidP="00920C7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10BD6" w:rsidRPr="00710BD6" w:rsidRDefault="00710BD6" w:rsidP="00920C7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10BD6">
        <w:rPr>
          <w:rFonts w:ascii="Bookman Old Style" w:hAnsi="Bookman Old Style"/>
          <w:b/>
          <w:sz w:val="24"/>
          <w:szCs w:val="24"/>
        </w:rPr>
        <w:t>DUCIMAR DE JESUS CARDOSO</w:t>
      </w:r>
    </w:p>
    <w:p w:rsidR="00710BD6" w:rsidRPr="00710BD6" w:rsidRDefault="00710BD6" w:rsidP="00920C7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10BD6">
        <w:rPr>
          <w:rFonts w:ascii="Bookman Old Style" w:hAnsi="Bookman Old Style"/>
          <w:b/>
          <w:sz w:val="24"/>
          <w:szCs w:val="24"/>
        </w:rPr>
        <w:t>“KADU GARÇOM”</w:t>
      </w:r>
    </w:p>
    <w:p w:rsidR="00710BD6" w:rsidRPr="00710BD6" w:rsidRDefault="00710BD6" w:rsidP="00920C7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10BD6">
        <w:rPr>
          <w:rFonts w:ascii="Bookman Old Style" w:hAnsi="Bookman Old Style"/>
          <w:sz w:val="24"/>
          <w:szCs w:val="24"/>
        </w:rPr>
        <w:t>-vereador-</w:t>
      </w:r>
    </w:p>
    <w:sectPr w:rsidR="00710BD6" w:rsidRPr="00710BD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78" w:rsidRDefault="00920C78">
      <w:r>
        <w:separator/>
      </w:r>
    </w:p>
  </w:endnote>
  <w:endnote w:type="continuationSeparator" w:id="0">
    <w:p w:rsidR="00920C78" w:rsidRDefault="0092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78" w:rsidRDefault="00920C78">
      <w:r>
        <w:separator/>
      </w:r>
    </w:p>
  </w:footnote>
  <w:footnote w:type="continuationSeparator" w:id="0">
    <w:p w:rsidR="00920C78" w:rsidRDefault="00920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3F6E"/>
    <w:rsid w:val="00710BD6"/>
    <w:rsid w:val="00920C7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0B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10BD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