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89" w:rsidRDefault="00B07889" w:rsidP="004317B0">
      <w:pPr>
        <w:pStyle w:val="Ttulo"/>
      </w:pPr>
      <w:bookmarkStart w:id="0" w:name="_GoBack"/>
      <w:bookmarkEnd w:id="0"/>
      <w:r>
        <w:t>INDICAÇÃO Nº 416/2010</w:t>
      </w:r>
    </w:p>
    <w:p w:rsidR="00B07889" w:rsidRDefault="00B07889">
      <w:pPr>
        <w:jc w:val="center"/>
        <w:rPr>
          <w:rFonts w:ascii="Bookman Old Style" w:hAnsi="Bookman Old Style"/>
          <w:b/>
          <w:u w:val="single"/>
        </w:rPr>
      </w:pPr>
    </w:p>
    <w:p w:rsidR="00B07889" w:rsidRDefault="00B07889">
      <w:pPr>
        <w:jc w:val="center"/>
        <w:rPr>
          <w:rFonts w:ascii="Bookman Old Style" w:hAnsi="Bookman Old Style"/>
          <w:b/>
          <w:u w:val="single"/>
        </w:rPr>
      </w:pPr>
    </w:p>
    <w:p w:rsidR="00B07889" w:rsidRDefault="00B07889" w:rsidP="004317B0">
      <w:pPr>
        <w:pStyle w:val="Recuodecorpodetexto"/>
        <w:ind w:left="4440"/>
      </w:pPr>
      <w:r>
        <w:t>“Quanto à operação ‘tapa-buracos’ no Cruzamento da Av. São Paulo com a rua Limeira, na Cidade Nova.”</w:t>
      </w:r>
    </w:p>
    <w:p w:rsidR="00B07889" w:rsidRDefault="00B07889">
      <w:pPr>
        <w:ind w:left="1440" w:firstLine="3600"/>
        <w:jc w:val="both"/>
        <w:rPr>
          <w:rFonts w:ascii="Bookman Old Style" w:hAnsi="Bookman Old Style"/>
        </w:rPr>
      </w:pPr>
    </w:p>
    <w:p w:rsidR="00B07889" w:rsidRDefault="00B07889">
      <w:pPr>
        <w:ind w:left="1440" w:firstLine="3600"/>
        <w:jc w:val="both"/>
        <w:rPr>
          <w:rFonts w:ascii="Bookman Old Style" w:hAnsi="Bookman Old Style"/>
        </w:rPr>
      </w:pPr>
    </w:p>
    <w:p w:rsidR="00B07889" w:rsidRDefault="00B07889">
      <w:pPr>
        <w:ind w:left="1440" w:firstLine="3600"/>
        <w:jc w:val="both"/>
        <w:rPr>
          <w:rFonts w:ascii="Bookman Old Style" w:hAnsi="Bookman Old Style"/>
        </w:rPr>
      </w:pPr>
    </w:p>
    <w:p w:rsidR="00B07889" w:rsidRDefault="00B07889">
      <w:pPr>
        <w:ind w:left="1440" w:firstLine="3600"/>
        <w:jc w:val="both"/>
        <w:rPr>
          <w:rFonts w:ascii="Bookman Old Style" w:hAnsi="Bookman Old Style"/>
        </w:rPr>
      </w:pPr>
    </w:p>
    <w:p w:rsidR="00B07889" w:rsidRPr="003977F2" w:rsidRDefault="00B07889" w:rsidP="004317B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no Cruzamento da Rua Limeira com a Av. São Paulo na Cidade Nova.</w:t>
      </w:r>
    </w:p>
    <w:p w:rsidR="00B07889" w:rsidRDefault="00B07889" w:rsidP="004317B0">
      <w:pPr>
        <w:jc w:val="center"/>
        <w:rPr>
          <w:rFonts w:ascii="Bookman Old Style" w:hAnsi="Bookman Old Style"/>
          <w:b/>
        </w:rPr>
      </w:pPr>
    </w:p>
    <w:p w:rsidR="00B07889" w:rsidRDefault="00B07889" w:rsidP="004317B0">
      <w:pPr>
        <w:jc w:val="center"/>
        <w:rPr>
          <w:rFonts w:ascii="Bookman Old Style" w:hAnsi="Bookman Old Style"/>
          <w:b/>
        </w:rPr>
      </w:pPr>
    </w:p>
    <w:p w:rsidR="00B07889" w:rsidRDefault="00B07889" w:rsidP="004317B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07889" w:rsidRDefault="00B07889" w:rsidP="004317B0">
      <w:pPr>
        <w:jc w:val="center"/>
        <w:rPr>
          <w:rFonts w:ascii="Bookman Old Style" w:hAnsi="Bookman Old Style"/>
          <w:b/>
        </w:rPr>
      </w:pPr>
    </w:p>
    <w:p w:rsidR="00B07889" w:rsidRDefault="00B07889" w:rsidP="004317B0">
      <w:pPr>
        <w:jc w:val="center"/>
        <w:rPr>
          <w:rFonts w:ascii="Bookman Old Style" w:hAnsi="Bookman Old Style"/>
          <w:b/>
        </w:rPr>
      </w:pPr>
    </w:p>
    <w:p w:rsidR="00B07889" w:rsidRDefault="00B07889" w:rsidP="004317B0">
      <w:pPr>
        <w:jc w:val="center"/>
        <w:rPr>
          <w:rFonts w:ascii="Bookman Old Style" w:hAnsi="Bookman Old Style"/>
          <w:b/>
        </w:rPr>
      </w:pPr>
    </w:p>
    <w:p w:rsidR="00B07889" w:rsidRDefault="00B07889" w:rsidP="004317B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a o referido cruzamento, é considerado porta de entrada para o comercio da Cidade Nova, assim pedem providencias.</w:t>
      </w:r>
    </w:p>
    <w:p w:rsidR="00B07889" w:rsidRDefault="00B07889" w:rsidP="004317B0">
      <w:pPr>
        <w:ind w:firstLine="1440"/>
        <w:jc w:val="both"/>
        <w:rPr>
          <w:rFonts w:ascii="Bookman Old Style" w:hAnsi="Bookman Old Style"/>
        </w:rPr>
      </w:pPr>
    </w:p>
    <w:p w:rsidR="00B07889" w:rsidRDefault="00B07889" w:rsidP="004317B0">
      <w:pPr>
        <w:ind w:firstLine="1440"/>
        <w:jc w:val="both"/>
        <w:outlineLvl w:val="0"/>
        <w:rPr>
          <w:rFonts w:ascii="Bookman Old Style" w:hAnsi="Bookman Old Style"/>
        </w:rPr>
      </w:pPr>
    </w:p>
    <w:p w:rsidR="00B07889" w:rsidRDefault="00B07889" w:rsidP="004317B0">
      <w:pPr>
        <w:ind w:firstLine="1440"/>
        <w:outlineLvl w:val="0"/>
        <w:rPr>
          <w:rFonts w:ascii="Bookman Old Style" w:hAnsi="Bookman Old Style"/>
        </w:rPr>
      </w:pPr>
    </w:p>
    <w:p w:rsidR="00B07889" w:rsidRDefault="00B07889" w:rsidP="004317B0">
      <w:pPr>
        <w:ind w:firstLine="1440"/>
        <w:outlineLvl w:val="0"/>
        <w:rPr>
          <w:rFonts w:ascii="Bookman Old Style" w:hAnsi="Bookman Old Style"/>
        </w:rPr>
      </w:pPr>
    </w:p>
    <w:p w:rsidR="00B07889" w:rsidRDefault="00B07889" w:rsidP="004317B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B07889" w:rsidRDefault="00B07889">
      <w:pPr>
        <w:ind w:firstLine="1440"/>
        <w:rPr>
          <w:rFonts w:ascii="Bookman Old Style" w:hAnsi="Bookman Old Style"/>
        </w:rPr>
      </w:pPr>
    </w:p>
    <w:p w:rsidR="00B07889" w:rsidRDefault="00B07889">
      <w:pPr>
        <w:rPr>
          <w:rFonts w:ascii="Bookman Old Style" w:hAnsi="Bookman Old Style"/>
        </w:rPr>
      </w:pPr>
    </w:p>
    <w:p w:rsidR="00B07889" w:rsidRDefault="00B07889">
      <w:pPr>
        <w:ind w:firstLine="1440"/>
        <w:rPr>
          <w:rFonts w:ascii="Bookman Old Style" w:hAnsi="Bookman Old Style"/>
        </w:rPr>
      </w:pPr>
    </w:p>
    <w:p w:rsidR="00B07889" w:rsidRDefault="00B07889">
      <w:pPr>
        <w:ind w:firstLine="1440"/>
        <w:rPr>
          <w:rFonts w:ascii="Bookman Old Style" w:hAnsi="Bookman Old Style"/>
        </w:rPr>
      </w:pPr>
    </w:p>
    <w:p w:rsidR="00B07889" w:rsidRDefault="00B07889">
      <w:pPr>
        <w:ind w:firstLine="1440"/>
        <w:rPr>
          <w:rFonts w:ascii="Bookman Old Style" w:hAnsi="Bookman Old Style"/>
        </w:rPr>
      </w:pPr>
    </w:p>
    <w:p w:rsidR="00B07889" w:rsidRDefault="00B07889" w:rsidP="004317B0">
      <w:pPr>
        <w:jc w:val="center"/>
        <w:outlineLvl w:val="0"/>
        <w:rPr>
          <w:rFonts w:ascii="Bookman Old Style" w:hAnsi="Bookman Old Style"/>
          <w:b/>
        </w:rPr>
      </w:pPr>
    </w:p>
    <w:p w:rsidR="00B07889" w:rsidRDefault="00B07889" w:rsidP="004317B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07889" w:rsidRDefault="00B07889" w:rsidP="004317B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07889" w:rsidRDefault="00B07889" w:rsidP="004317B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B0" w:rsidRDefault="004317B0">
      <w:r>
        <w:separator/>
      </w:r>
    </w:p>
  </w:endnote>
  <w:endnote w:type="continuationSeparator" w:id="0">
    <w:p w:rsidR="004317B0" w:rsidRDefault="0043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B0" w:rsidRDefault="004317B0">
      <w:r>
        <w:separator/>
      </w:r>
    </w:p>
  </w:footnote>
  <w:footnote w:type="continuationSeparator" w:id="0">
    <w:p w:rsidR="004317B0" w:rsidRDefault="0043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17B0"/>
    <w:rsid w:val="004C67DE"/>
    <w:rsid w:val="00632AB2"/>
    <w:rsid w:val="009F196D"/>
    <w:rsid w:val="00A9035B"/>
    <w:rsid w:val="00B0788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78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0788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