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FB" w:rsidRDefault="001076FB" w:rsidP="005D425F">
      <w:pPr>
        <w:pStyle w:val="Ttulo"/>
      </w:pPr>
      <w:bookmarkStart w:id="0" w:name="_GoBack"/>
      <w:bookmarkEnd w:id="0"/>
      <w:r>
        <w:t>INDICAÇÃO Nº  501/10</w:t>
      </w:r>
    </w:p>
    <w:p w:rsidR="001076FB" w:rsidRDefault="001076FB">
      <w:pPr>
        <w:jc w:val="center"/>
        <w:rPr>
          <w:rFonts w:ascii="Bookman Old Style" w:hAnsi="Bookman Old Style"/>
          <w:b/>
          <w:u w:val="single"/>
        </w:rPr>
      </w:pPr>
    </w:p>
    <w:p w:rsidR="001076FB" w:rsidRDefault="001076FB">
      <w:pPr>
        <w:jc w:val="center"/>
        <w:rPr>
          <w:rFonts w:ascii="Bookman Old Style" w:hAnsi="Bookman Old Style"/>
          <w:b/>
          <w:u w:val="single"/>
        </w:rPr>
      </w:pPr>
    </w:p>
    <w:p w:rsidR="001076FB" w:rsidRDefault="001076FB" w:rsidP="005D425F">
      <w:pPr>
        <w:pStyle w:val="Recuodecorpodetexto"/>
        <w:ind w:left="4440"/>
      </w:pPr>
      <w:r>
        <w:t>“Operação tapa-buracos na Rua Águas da Prata, defronte ao nº 762, no bairro Residencial São Joaquim”.</w:t>
      </w:r>
    </w:p>
    <w:p w:rsidR="001076FB" w:rsidRDefault="001076FB">
      <w:pPr>
        <w:ind w:left="1440" w:firstLine="3600"/>
        <w:jc w:val="both"/>
        <w:rPr>
          <w:rFonts w:ascii="Bookman Old Style" w:hAnsi="Bookman Old Style"/>
        </w:rPr>
      </w:pPr>
    </w:p>
    <w:p w:rsidR="001076FB" w:rsidRPr="00C0212A" w:rsidRDefault="001076FB">
      <w:pPr>
        <w:ind w:left="1440" w:firstLine="3600"/>
        <w:jc w:val="both"/>
        <w:rPr>
          <w:rFonts w:ascii="Bookman Old Style" w:hAnsi="Bookman Old Style"/>
        </w:rPr>
      </w:pPr>
    </w:p>
    <w:p w:rsidR="001076FB" w:rsidRPr="00C0212A" w:rsidRDefault="001076FB">
      <w:pPr>
        <w:ind w:left="1440" w:firstLine="3600"/>
        <w:jc w:val="both"/>
        <w:rPr>
          <w:rFonts w:ascii="Bookman Old Style" w:hAnsi="Bookman Old Style"/>
        </w:rPr>
      </w:pPr>
    </w:p>
    <w:p w:rsidR="001076FB" w:rsidRPr="00C0212A" w:rsidRDefault="001076FB">
      <w:pPr>
        <w:ind w:left="1440" w:firstLine="3600"/>
        <w:jc w:val="both"/>
        <w:rPr>
          <w:rFonts w:ascii="Bookman Old Style" w:hAnsi="Bookman Old Style"/>
        </w:rPr>
      </w:pPr>
    </w:p>
    <w:p w:rsidR="001076FB" w:rsidRPr="00C0212A" w:rsidRDefault="001076FB" w:rsidP="005D425F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na Rua Águas da Prata, defronte ao nº 762, no bairro Residencial São Joaquim.</w:t>
      </w:r>
    </w:p>
    <w:p w:rsidR="001076FB" w:rsidRPr="00C0212A" w:rsidRDefault="001076FB" w:rsidP="005D425F">
      <w:pPr>
        <w:jc w:val="center"/>
        <w:rPr>
          <w:rFonts w:ascii="Bookman Old Style" w:hAnsi="Bookman Old Style"/>
          <w:b/>
        </w:rPr>
      </w:pPr>
    </w:p>
    <w:p w:rsidR="001076FB" w:rsidRPr="00C0212A" w:rsidRDefault="001076FB" w:rsidP="005D425F">
      <w:pPr>
        <w:jc w:val="center"/>
        <w:rPr>
          <w:rFonts w:ascii="Bookman Old Style" w:hAnsi="Bookman Old Style"/>
          <w:b/>
        </w:rPr>
      </w:pPr>
    </w:p>
    <w:p w:rsidR="001076FB" w:rsidRPr="00C0212A" w:rsidRDefault="001076FB" w:rsidP="005D425F">
      <w:pPr>
        <w:jc w:val="center"/>
        <w:rPr>
          <w:rFonts w:ascii="Bookman Old Style" w:hAnsi="Bookman Old Style"/>
          <w:b/>
        </w:rPr>
      </w:pPr>
    </w:p>
    <w:p w:rsidR="001076FB" w:rsidRPr="00C0212A" w:rsidRDefault="001076FB" w:rsidP="005D425F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1076FB" w:rsidRPr="00C0212A" w:rsidRDefault="001076FB" w:rsidP="005D425F">
      <w:pPr>
        <w:jc w:val="center"/>
        <w:rPr>
          <w:rFonts w:ascii="Bookman Old Style" w:hAnsi="Bookman Old Style"/>
          <w:b/>
        </w:rPr>
      </w:pPr>
    </w:p>
    <w:p w:rsidR="001076FB" w:rsidRPr="00C0212A" w:rsidRDefault="001076FB" w:rsidP="005D425F">
      <w:pPr>
        <w:jc w:val="center"/>
        <w:rPr>
          <w:rFonts w:ascii="Bookman Old Style" w:hAnsi="Bookman Old Style"/>
          <w:b/>
        </w:rPr>
      </w:pPr>
    </w:p>
    <w:p w:rsidR="001076FB" w:rsidRPr="00C0212A" w:rsidRDefault="001076FB" w:rsidP="005D425F">
      <w:pPr>
        <w:jc w:val="center"/>
        <w:rPr>
          <w:rFonts w:ascii="Bookman Old Style" w:hAnsi="Bookman Old Style"/>
          <w:b/>
        </w:rPr>
      </w:pPr>
    </w:p>
    <w:p w:rsidR="001076FB" w:rsidRPr="00C0212A" w:rsidRDefault="001076FB" w:rsidP="005D425F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moradores residentes na localidade. </w:t>
      </w:r>
    </w:p>
    <w:p w:rsidR="001076FB" w:rsidRPr="00C0212A" w:rsidRDefault="001076FB" w:rsidP="005D425F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1076FB" w:rsidRPr="00C0212A" w:rsidRDefault="001076FB" w:rsidP="005D425F">
      <w:pPr>
        <w:ind w:firstLine="1440"/>
        <w:jc w:val="both"/>
        <w:rPr>
          <w:rFonts w:ascii="Bookman Old Style" w:hAnsi="Bookman Old Style"/>
        </w:rPr>
      </w:pPr>
    </w:p>
    <w:p w:rsidR="001076FB" w:rsidRDefault="001076FB" w:rsidP="005D425F">
      <w:pPr>
        <w:ind w:firstLine="1440"/>
        <w:jc w:val="both"/>
        <w:outlineLvl w:val="0"/>
        <w:rPr>
          <w:rFonts w:ascii="Bookman Old Style" w:hAnsi="Bookman Old Style"/>
        </w:rPr>
      </w:pPr>
    </w:p>
    <w:p w:rsidR="001076FB" w:rsidRDefault="001076FB" w:rsidP="005D425F">
      <w:pPr>
        <w:ind w:firstLine="1440"/>
        <w:outlineLvl w:val="0"/>
        <w:rPr>
          <w:rFonts w:ascii="Bookman Old Style" w:hAnsi="Bookman Old Style"/>
        </w:rPr>
      </w:pPr>
    </w:p>
    <w:p w:rsidR="001076FB" w:rsidRDefault="001076FB" w:rsidP="005D425F">
      <w:pPr>
        <w:ind w:firstLine="1440"/>
        <w:outlineLvl w:val="0"/>
        <w:rPr>
          <w:rFonts w:ascii="Bookman Old Style" w:hAnsi="Bookman Old Style"/>
        </w:rPr>
      </w:pPr>
    </w:p>
    <w:p w:rsidR="001076FB" w:rsidRDefault="001076FB" w:rsidP="005D425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2010.</w:t>
      </w:r>
    </w:p>
    <w:p w:rsidR="001076FB" w:rsidRDefault="001076FB">
      <w:pPr>
        <w:ind w:firstLine="1440"/>
        <w:rPr>
          <w:rFonts w:ascii="Bookman Old Style" w:hAnsi="Bookman Old Style"/>
        </w:rPr>
      </w:pPr>
    </w:p>
    <w:p w:rsidR="001076FB" w:rsidRDefault="001076FB">
      <w:pPr>
        <w:rPr>
          <w:rFonts w:ascii="Bookman Old Style" w:hAnsi="Bookman Old Style"/>
        </w:rPr>
      </w:pPr>
    </w:p>
    <w:p w:rsidR="001076FB" w:rsidRDefault="001076FB">
      <w:pPr>
        <w:ind w:firstLine="1440"/>
        <w:rPr>
          <w:rFonts w:ascii="Bookman Old Style" w:hAnsi="Bookman Old Style"/>
        </w:rPr>
      </w:pPr>
    </w:p>
    <w:p w:rsidR="001076FB" w:rsidRDefault="001076FB" w:rsidP="005D425F">
      <w:pPr>
        <w:jc w:val="center"/>
        <w:outlineLvl w:val="0"/>
        <w:rPr>
          <w:rFonts w:ascii="Bookman Old Style" w:hAnsi="Bookman Old Style"/>
          <w:b/>
        </w:rPr>
      </w:pPr>
    </w:p>
    <w:p w:rsidR="001076FB" w:rsidRDefault="001076FB" w:rsidP="005D425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1076FB" w:rsidRDefault="001076FB" w:rsidP="005D425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5F" w:rsidRDefault="005D425F">
      <w:r>
        <w:separator/>
      </w:r>
    </w:p>
  </w:endnote>
  <w:endnote w:type="continuationSeparator" w:id="0">
    <w:p w:rsidR="005D425F" w:rsidRDefault="005D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5F" w:rsidRDefault="005D425F">
      <w:r>
        <w:separator/>
      </w:r>
    </w:p>
  </w:footnote>
  <w:footnote w:type="continuationSeparator" w:id="0">
    <w:p w:rsidR="005D425F" w:rsidRDefault="005D4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76FB"/>
    <w:rsid w:val="00117022"/>
    <w:rsid w:val="001D1394"/>
    <w:rsid w:val="003D3AA8"/>
    <w:rsid w:val="004C67DE"/>
    <w:rsid w:val="005D425F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076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076F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