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8F" w:rsidRDefault="00A8438F" w:rsidP="00A8438F">
      <w:pPr>
        <w:pStyle w:val="Ttulo"/>
        <w:rPr>
          <w:szCs w:val="24"/>
        </w:rPr>
      </w:pPr>
      <w:bookmarkStart w:id="0" w:name="_GoBack"/>
      <w:bookmarkEnd w:id="0"/>
    </w:p>
    <w:p w:rsidR="00A8438F" w:rsidRPr="00033DC9" w:rsidRDefault="00A8438F" w:rsidP="00A8438F">
      <w:pPr>
        <w:pStyle w:val="Ttulo"/>
        <w:rPr>
          <w:szCs w:val="24"/>
        </w:rPr>
      </w:pPr>
      <w:r w:rsidRPr="00033DC9">
        <w:rPr>
          <w:szCs w:val="24"/>
        </w:rPr>
        <w:t xml:space="preserve">REQUERIMENTO Nº </w:t>
      </w:r>
      <w:r>
        <w:rPr>
          <w:szCs w:val="24"/>
        </w:rPr>
        <w:t>281/12</w:t>
      </w:r>
    </w:p>
    <w:p w:rsidR="00A8438F" w:rsidRDefault="00A8438F" w:rsidP="00A8438F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A8438F" w:rsidRDefault="00A8438F" w:rsidP="00A8438F">
      <w:pPr>
        <w:pStyle w:val="Recuodecorpodetexto"/>
        <w:ind w:left="4111"/>
        <w:rPr>
          <w:szCs w:val="24"/>
        </w:rPr>
      </w:pPr>
    </w:p>
    <w:p w:rsidR="00A8438F" w:rsidRPr="00033DC9" w:rsidRDefault="00A8438F" w:rsidP="00A8438F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ao fornecimento do cartão do SUS pela rede municipal de saúde”</w:t>
      </w:r>
      <w:r w:rsidRPr="00033DC9">
        <w:rPr>
          <w:szCs w:val="24"/>
        </w:rPr>
        <w:t>.</w:t>
      </w:r>
    </w:p>
    <w:p w:rsidR="00A8438F" w:rsidRDefault="00A8438F" w:rsidP="00A8438F">
      <w:pPr>
        <w:pStyle w:val="Recuodecorpodetexto"/>
        <w:ind w:left="0"/>
        <w:rPr>
          <w:szCs w:val="24"/>
        </w:rPr>
      </w:pPr>
    </w:p>
    <w:p w:rsidR="00A8438F" w:rsidRDefault="00A8438F" w:rsidP="00A8438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que, a partir de março deste ano, o cartão do SUS se tornou obrigatório para a realização de consultas na rede pública de saúde de acordo com a portaria nº 763 de 20 de Julho de 2011, e;</w:t>
      </w:r>
    </w:p>
    <w:p w:rsidR="00A8438F" w:rsidRDefault="00A8438F" w:rsidP="00A8438F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A8438F" w:rsidRDefault="00A8438F" w:rsidP="00A8438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900AC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que, com a obrigatoriedade o número de usuários que solicitam o cartão devera sofrer aumento; </w:t>
      </w:r>
    </w:p>
    <w:p w:rsidR="00A8438F" w:rsidRDefault="00A8438F" w:rsidP="00A8438F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A8438F" w:rsidRDefault="00A8438F" w:rsidP="00A8438F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A8438F" w:rsidRDefault="00A8438F" w:rsidP="00A8438F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A8438F" w:rsidRDefault="00A8438F" w:rsidP="00A8438F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 acordo com a portaria, as unidades municipais de saúde, deverão fornecer o cartão para os cidadãos, isto está ocorrendo no nosso município?</w:t>
      </w:r>
    </w:p>
    <w:p w:rsidR="00A8438F" w:rsidRDefault="00A8438F" w:rsidP="00A8438F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o prazo para a entrega do cartão?</w:t>
      </w:r>
    </w:p>
    <w:p w:rsidR="00A8438F" w:rsidRDefault="00A8438F" w:rsidP="00A8438F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munícipe que estiver no aguardo do cartão poderá realizar as consultas agendadas antes do pedido de emissão do cartão?</w:t>
      </w:r>
    </w:p>
    <w:p w:rsidR="00A8438F" w:rsidRDefault="00A8438F" w:rsidP="00A8438F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Até o momento, quantos cartões foram fornecidos pela rede municipal?</w:t>
      </w:r>
    </w:p>
    <w:p w:rsidR="00A8438F" w:rsidRDefault="00A8438F" w:rsidP="00A8438F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a porcentagem da população atendida?</w:t>
      </w:r>
    </w:p>
    <w:p w:rsidR="00A8438F" w:rsidRDefault="00A8438F" w:rsidP="00A8438F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Quantas solicitações estão em andamento?</w:t>
      </w:r>
    </w:p>
    <w:p w:rsidR="00A8438F" w:rsidRDefault="00A8438F" w:rsidP="00A8438F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Quais são as ações, por parte da Municipalidade estão sendo feitas para que a população saiba da obrigatoriedade do cartão?</w:t>
      </w:r>
    </w:p>
    <w:p w:rsidR="00A8438F" w:rsidRDefault="00A8438F" w:rsidP="00A8438F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A8438F" w:rsidRDefault="00A8438F" w:rsidP="00A8438F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</w:t>
      </w:r>
    </w:p>
    <w:p w:rsidR="00A8438F" w:rsidRPr="00033DC9" w:rsidRDefault="00A8438F" w:rsidP="00A8438F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</w:t>
      </w:r>
    </w:p>
    <w:p w:rsidR="00A8438F" w:rsidRPr="00033DC9" w:rsidRDefault="00A8438F" w:rsidP="00A8438F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Plenário “Dr. Tancredo Neves”, em </w:t>
      </w:r>
      <w:r>
        <w:rPr>
          <w:rFonts w:ascii="Bookman Old Style" w:hAnsi="Bookman Old Style"/>
          <w:sz w:val="24"/>
          <w:szCs w:val="24"/>
        </w:rPr>
        <w:t>20 de abril</w:t>
      </w:r>
      <w:r w:rsidRPr="00033DC9">
        <w:rPr>
          <w:rFonts w:ascii="Bookman Old Style" w:hAnsi="Bookman Old Style"/>
          <w:sz w:val="24"/>
          <w:szCs w:val="24"/>
        </w:rPr>
        <w:t xml:space="preserve"> 20</w:t>
      </w:r>
      <w:r>
        <w:rPr>
          <w:rFonts w:ascii="Bookman Old Style" w:hAnsi="Bookman Old Style"/>
          <w:sz w:val="24"/>
          <w:szCs w:val="24"/>
        </w:rPr>
        <w:t>12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A8438F" w:rsidRPr="00033DC9" w:rsidRDefault="00A8438F" w:rsidP="00A8438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8438F" w:rsidRDefault="00A8438F" w:rsidP="00A8438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8438F" w:rsidRDefault="00A8438F" w:rsidP="00A8438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8438F" w:rsidRDefault="00A8438F" w:rsidP="00A8438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A8438F" w:rsidRDefault="00A8438F" w:rsidP="00A8438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PP</w:t>
      </w:r>
    </w:p>
    <w:p w:rsidR="00A8438F" w:rsidRDefault="00A8438F" w:rsidP="00A8438F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A8438F">
      <w:headerReference w:type="default" r:id="rId7"/>
      <w:footerReference w:type="default" r:id="rId8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DC6" w:rsidRDefault="00554DC6">
      <w:r>
        <w:separator/>
      </w:r>
    </w:p>
  </w:endnote>
  <w:endnote w:type="continuationSeparator" w:id="0">
    <w:p w:rsidR="00554DC6" w:rsidRDefault="0055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DC6" w:rsidRDefault="00554DC6">
      <w:r>
        <w:separator/>
      </w:r>
    </w:p>
  </w:footnote>
  <w:footnote w:type="continuationSeparator" w:id="0">
    <w:p w:rsidR="00554DC6" w:rsidRDefault="00554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54DC6"/>
    <w:rsid w:val="009F196D"/>
    <w:rsid w:val="00A8438F"/>
    <w:rsid w:val="00A9035B"/>
    <w:rsid w:val="00C13A6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8438F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8438F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