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B5" w:rsidRDefault="00C044B5">
      <w:pPr>
        <w:pStyle w:val="Ttulo"/>
      </w:pPr>
      <w:bookmarkStart w:id="0" w:name="_GoBack"/>
      <w:bookmarkEnd w:id="0"/>
      <w:r>
        <w:t>INDICAÇÃO Nº 1031/10</w:t>
      </w:r>
    </w:p>
    <w:p w:rsidR="00C044B5" w:rsidRDefault="00C044B5">
      <w:pPr>
        <w:jc w:val="center"/>
        <w:rPr>
          <w:rFonts w:ascii="Bookman Old Style" w:hAnsi="Bookman Old Style"/>
          <w:b/>
          <w:u w:val="single"/>
        </w:rPr>
      </w:pPr>
    </w:p>
    <w:p w:rsidR="00C044B5" w:rsidRDefault="00C044B5">
      <w:pPr>
        <w:jc w:val="center"/>
        <w:rPr>
          <w:rFonts w:ascii="Bookman Old Style" w:hAnsi="Bookman Old Style"/>
          <w:b/>
          <w:u w:val="single"/>
        </w:rPr>
      </w:pPr>
    </w:p>
    <w:p w:rsidR="00C044B5" w:rsidRDefault="00C044B5">
      <w:pPr>
        <w:jc w:val="center"/>
        <w:rPr>
          <w:rFonts w:ascii="Bookman Old Style" w:hAnsi="Bookman Old Style"/>
          <w:b/>
          <w:u w:val="single"/>
        </w:rPr>
      </w:pPr>
    </w:p>
    <w:p w:rsidR="00C044B5" w:rsidRDefault="00C044B5">
      <w:pPr>
        <w:pStyle w:val="Recuodecorpodetexto"/>
      </w:pPr>
      <w:r>
        <w:t>“Recuperar a camada asfáltica na Rua do Irídio defronte ao nº.1212 esquina com a Rua Sebastião Inácio de Campos, no bairro Mollon IV”.</w:t>
      </w:r>
    </w:p>
    <w:p w:rsidR="00C044B5" w:rsidRDefault="00C044B5">
      <w:pPr>
        <w:ind w:left="1440" w:firstLine="3600"/>
        <w:jc w:val="both"/>
        <w:rPr>
          <w:rFonts w:ascii="Bookman Old Style" w:hAnsi="Bookman Old Style"/>
        </w:rPr>
      </w:pPr>
    </w:p>
    <w:p w:rsidR="00C044B5" w:rsidRDefault="00C044B5">
      <w:pPr>
        <w:ind w:left="1440" w:firstLine="3600"/>
        <w:jc w:val="both"/>
        <w:rPr>
          <w:rFonts w:ascii="Bookman Old Style" w:hAnsi="Bookman Old Style"/>
        </w:rPr>
      </w:pPr>
    </w:p>
    <w:p w:rsidR="00C044B5" w:rsidRDefault="00C044B5">
      <w:pPr>
        <w:ind w:left="1440" w:firstLine="3600"/>
        <w:jc w:val="both"/>
        <w:rPr>
          <w:rFonts w:ascii="Bookman Old Style" w:hAnsi="Bookman Old Style"/>
        </w:rPr>
      </w:pPr>
    </w:p>
    <w:p w:rsidR="00C044B5" w:rsidRDefault="00C044B5">
      <w:pPr>
        <w:ind w:left="1440" w:firstLine="3600"/>
        <w:jc w:val="both"/>
        <w:rPr>
          <w:rFonts w:ascii="Bookman Old Style" w:hAnsi="Bookman Old Style"/>
        </w:rPr>
      </w:pPr>
    </w:p>
    <w:p w:rsidR="00C044B5" w:rsidRPr="00675E8C" w:rsidRDefault="00C044B5" w:rsidP="007D1FF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na </w:t>
      </w:r>
      <w:r w:rsidRPr="00675E8C">
        <w:rPr>
          <w:rFonts w:ascii="Bookman Old Style" w:hAnsi="Bookman Old Style"/>
        </w:rPr>
        <w:t>Rua do Irídio defronte ao nº.1212 esquina com a Rua Sebastião Inácio de Campos, no bairro Mollon IV.</w:t>
      </w:r>
    </w:p>
    <w:p w:rsidR="00C044B5" w:rsidRPr="00675E8C" w:rsidRDefault="00C044B5" w:rsidP="007D1FF2">
      <w:pPr>
        <w:ind w:firstLine="1440"/>
        <w:jc w:val="both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Default="00C044B5" w:rsidP="007D1FF2">
      <w:pPr>
        <w:jc w:val="center"/>
        <w:rPr>
          <w:rFonts w:ascii="Bookman Old Style" w:hAnsi="Bookman Old Style"/>
          <w:b/>
        </w:rPr>
      </w:pPr>
    </w:p>
    <w:p w:rsidR="00C044B5" w:rsidRPr="00C4775E" w:rsidRDefault="00C044B5" w:rsidP="007D1FF2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Necessitando a recuperação.</w:t>
      </w:r>
    </w:p>
    <w:p w:rsidR="00C044B5" w:rsidRPr="003D2A9F" w:rsidRDefault="00C044B5" w:rsidP="007D1FF2">
      <w:pPr>
        <w:ind w:firstLine="1440"/>
        <w:jc w:val="both"/>
        <w:rPr>
          <w:rFonts w:ascii="Bookman Old Style" w:hAnsi="Bookman Old Style"/>
        </w:rPr>
      </w:pPr>
    </w:p>
    <w:p w:rsidR="00C044B5" w:rsidRDefault="00C044B5" w:rsidP="007D1FF2">
      <w:pPr>
        <w:ind w:firstLine="1440"/>
        <w:jc w:val="both"/>
        <w:rPr>
          <w:rFonts w:ascii="Bookman Old Style" w:hAnsi="Bookman Old Style"/>
        </w:rPr>
      </w:pPr>
    </w:p>
    <w:p w:rsidR="00C044B5" w:rsidRDefault="00C044B5">
      <w:pPr>
        <w:ind w:firstLine="1440"/>
        <w:jc w:val="center"/>
        <w:rPr>
          <w:rFonts w:ascii="Bookman Old Style" w:hAnsi="Bookman Old Style"/>
          <w:b/>
        </w:rPr>
      </w:pPr>
    </w:p>
    <w:p w:rsidR="00C044B5" w:rsidRDefault="00C044B5">
      <w:pPr>
        <w:ind w:firstLine="1440"/>
        <w:jc w:val="both"/>
        <w:rPr>
          <w:rFonts w:ascii="Bookman Old Style" w:hAnsi="Bookman Old Style"/>
        </w:rPr>
      </w:pPr>
    </w:p>
    <w:p w:rsidR="00C044B5" w:rsidRDefault="00C044B5">
      <w:pPr>
        <w:ind w:firstLine="1440"/>
        <w:jc w:val="both"/>
        <w:rPr>
          <w:rFonts w:ascii="Bookman Old Style" w:hAnsi="Bookman Old Style"/>
        </w:rPr>
      </w:pPr>
    </w:p>
    <w:p w:rsidR="00C044B5" w:rsidRDefault="00C044B5" w:rsidP="007D1F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C044B5" w:rsidRDefault="00C044B5">
      <w:pPr>
        <w:ind w:firstLine="1440"/>
        <w:rPr>
          <w:rFonts w:ascii="Bookman Old Style" w:hAnsi="Bookman Old Style"/>
        </w:rPr>
      </w:pPr>
    </w:p>
    <w:p w:rsidR="00C044B5" w:rsidRDefault="00C044B5">
      <w:pPr>
        <w:rPr>
          <w:rFonts w:ascii="Bookman Old Style" w:hAnsi="Bookman Old Style"/>
        </w:rPr>
      </w:pPr>
    </w:p>
    <w:p w:rsidR="00C044B5" w:rsidRDefault="00C044B5">
      <w:pPr>
        <w:ind w:firstLine="1440"/>
        <w:rPr>
          <w:rFonts w:ascii="Bookman Old Style" w:hAnsi="Bookman Old Style"/>
        </w:rPr>
      </w:pPr>
    </w:p>
    <w:p w:rsidR="00C044B5" w:rsidRDefault="00C044B5">
      <w:pPr>
        <w:ind w:firstLine="1440"/>
        <w:rPr>
          <w:rFonts w:ascii="Bookman Old Style" w:hAnsi="Bookman Old Style"/>
        </w:rPr>
      </w:pPr>
    </w:p>
    <w:p w:rsidR="00C044B5" w:rsidRDefault="00C044B5" w:rsidP="007D1F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44B5" w:rsidRDefault="00C044B5" w:rsidP="007D1F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44B5" w:rsidRDefault="00C044B5" w:rsidP="007D1FF2">
      <w:pPr>
        <w:ind w:firstLine="120"/>
        <w:jc w:val="center"/>
        <w:outlineLvl w:val="0"/>
        <w:rPr>
          <w:rFonts w:ascii="Bookman Old Style" w:hAnsi="Bookman Old Style"/>
        </w:rPr>
      </w:pPr>
    </w:p>
    <w:p w:rsidR="00C044B5" w:rsidRDefault="00C044B5" w:rsidP="007D1FF2">
      <w:pPr>
        <w:ind w:firstLine="120"/>
        <w:jc w:val="center"/>
        <w:outlineLvl w:val="0"/>
        <w:rPr>
          <w:rFonts w:ascii="Bookman Old Style" w:hAnsi="Bookman Old Style"/>
        </w:rPr>
      </w:pPr>
    </w:p>
    <w:p w:rsidR="00C044B5" w:rsidRDefault="00C044B5" w:rsidP="007D1FF2">
      <w:pPr>
        <w:ind w:firstLine="120"/>
        <w:jc w:val="center"/>
        <w:outlineLvl w:val="0"/>
        <w:rPr>
          <w:rFonts w:ascii="Bookman Old Style" w:hAnsi="Bookman Old Style"/>
        </w:rPr>
      </w:pPr>
    </w:p>
    <w:p w:rsidR="00C044B5" w:rsidRDefault="00C044B5" w:rsidP="007D1FF2">
      <w:pPr>
        <w:ind w:firstLine="120"/>
        <w:jc w:val="center"/>
        <w:outlineLvl w:val="0"/>
        <w:rPr>
          <w:rFonts w:ascii="Bookman Old Style" w:hAnsi="Bookman Old Style"/>
        </w:rPr>
      </w:pPr>
    </w:p>
    <w:p w:rsidR="00C044B5" w:rsidRPr="007D7026" w:rsidRDefault="00C044B5" w:rsidP="007D1FF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F2" w:rsidRDefault="007D1FF2">
      <w:r>
        <w:separator/>
      </w:r>
    </w:p>
  </w:endnote>
  <w:endnote w:type="continuationSeparator" w:id="0">
    <w:p w:rsidR="007D1FF2" w:rsidRDefault="007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F2" w:rsidRDefault="007D1FF2">
      <w:r>
        <w:separator/>
      </w:r>
    </w:p>
  </w:footnote>
  <w:footnote w:type="continuationSeparator" w:id="0">
    <w:p w:rsidR="007D1FF2" w:rsidRDefault="007D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DDF"/>
    <w:rsid w:val="003D3AA8"/>
    <w:rsid w:val="004C67DE"/>
    <w:rsid w:val="007D1FF2"/>
    <w:rsid w:val="009F196D"/>
    <w:rsid w:val="00A9035B"/>
    <w:rsid w:val="00C044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44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44B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044B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