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5E" w:rsidRDefault="006C0B5E" w:rsidP="002E7FA8">
      <w:pPr>
        <w:pStyle w:val="Ttulo"/>
      </w:pPr>
      <w:bookmarkStart w:id="0" w:name="_GoBack"/>
      <w:bookmarkEnd w:id="0"/>
      <w:r>
        <w:t>INDICAÇÃO Nº 1824/2011</w:t>
      </w:r>
    </w:p>
    <w:p w:rsidR="006C0B5E" w:rsidRDefault="006C0B5E">
      <w:pPr>
        <w:jc w:val="center"/>
        <w:rPr>
          <w:rFonts w:ascii="Bookman Old Style" w:hAnsi="Bookman Old Style"/>
          <w:b/>
          <w:u w:val="single"/>
        </w:rPr>
      </w:pPr>
    </w:p>
    <w:p w:rsidR="006C0B5E" w:rsidRDefault="006C0B5E">
      <w:pPr>
        <w:jc w:val="center"/>
        <w:rPr>
          <w:rFonts w:ascii="Bookman Old Style" w:hAnsi="Bookman Old Style"/>
          <w:b/>
          <w:u w:val="single"/>
        </w:rPr>
      </w:pPr>
    </w:p>
    <w:p w:rsidR="006C0B5E" w:rsidRDefault="006C0B5E" w:rsidP="002E7FA8">
      <w:pPr>
        <w:pStyle w:val="Recuodecorpodetexto"/>
        <w:ind w:left="4440"/>
      </w:pPr>
      <w:r>
        <w:t>“Continuidade da Rua Ademar Semmler, no Jardim Santa Rosa”.</w:t>
      </w:r>
    </w:p>
    <w:p w:rsidR="006C0B5E" w:rsidRDefault="006C0B5E">
      <w:pPr>
        <w:ind w:left="1440" w:firstLine="3600"/>
        <w:jc w:val="both"/>
        <w:rPr>
          <w:rFonts w:ascii="Bookman Old Style" w:hAnsi="Bookman Old Style"/>
        </w:rPr>
      </w:pPr>
    </w:p>
    <w:p w:rsidR="006C0B5E" w:rsidRDefault="006C0B5E">
      <w:pPr>
        <w:ind w:left="1440" w:firstLine="3600"/>
        <w:jc w:val="both"/>
        <w:rPr>
          <w:rFonts w:ascii="Bookman Old Style" w:hAnsi="Bookman Old Style"/>
        </w:rPr>
      </w:pPr>
    </w:p>
    <w:p w:rsidR="006C0B5E" w:rsidRDefault="006C0B5E">
      <w:pPr>
        <w:ind w:left="1440" w:firstLine="3600"/>
        <w:jc w:val="both"/>
        <w:rPr>
          <w:rFonts w:ascii="Bookman Old Style" w:hAnsi="Bookman Old Style"/>
        </w:rPr>
      </w:pPr>
    </w:p>
    <w:p w:rsidR="006C0B5E" w:rsidRDefault="006C0B5E">
      <w:pPr>
        <w:ind w:left="1440" w:firstLine="3600"/>
        <w:jc w:val="both"/>
        <w:rPr>
          <w:rFonts w:ascii="Bookman Old Style" w:hAnsi="Bookman Old Style"/>
        </w:rPr>
      </w:pPr>
    </w:p>
    <w:p w:rsidR="006C0B5E" w:rsidRDefault="006C0B5E" w:rsidP="002E7FA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continuação da Rua Ademar Semmler que, passa por uma interrupção devido ao canteiro da linha de alta tensão.</w:t>
      </w:r>
    </w:p>
    <w:p w:rsidR="006C0B5E" w:rsidRDefault="006C0B5E" w:rsidP="002E7FA8">
      <w:pPr>
        <w:jc w:val="center"/>
        <w:rPr>
          <w:rFonts w:ascii="Bookman Old Style" w:hAnsi="Bookman Old Style"/>
          <w:b/>
        </w:rPr>
      </w:pPr>
    </w:p>
    <w:p w:rsidR="006C0B5E" w:rsidRDefault="006C0B5E" w:rsidP="002E7FA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C0B5E" w:rsidRDefault="006C0B5E" w:rsidP="002E7FA8">
      <w:pPr>
        <w:jc w:val="center"/>
        <w:rPr>
          <w:rFonts w:ascii="Bookman Old Style" w:hAnsi="Bookman Old Style"/>
          <w:b/>
        </w:rPr>
      </w:pPr>
    </w:p>
    <w:p w:rsidR="006C0B5E" w:rsidRDefault="006C0B5E" w:rsidP="002E7FA8">
      <w:pPr>
        <w:jc w:val="center"/>
        <w:rPr>
          <w:rFonts w:ascii="Bookman Old Style" w:hAnsi="Bookman Old Style"/>
          <w:b/>
        </w:rPr>
      </w:pPr>
    </w:p>
    <w:p w:rsidR="006C0B5E" w:rsidRDefault="006C0B5E" w:rsidP="002E7FA8">
      <w:pPr>
        <w:jc w:val="center"/>
        <w:rPr>
          <w:rFonts w:ascii="Bookman Old Style" w:hAnsi="Bookman Old Style"/>
          <w:b/>
        </w:rPr>
      </w:pPr>
    </w:p>
    <w:p w:rsidR="006C0B5E" w:rsidRDefault="006C0B5E" w:rsidP="002E7FA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pedem a continuidade da Rua Ademar Semmler, visto que, a mesma é separada pela rede de alta tensão, situação que obriga os veículos efetuarem uma volta muito grande para que possam retornar para a mesma rua.</w:t>
      </w:r>
    </w:p>
    <w:p w:rsidR="006C0B5E" w:rsidRDefault="006C0B5E" w:rsidP="002E7FA8">
      <w:pPr>
        <w:ind w:firstLine="1440"/>
        <w:jc w:val="both"/>
        <w:rPr>
          <w:rFonts w:ascii="Bookman Old Style" w:hAnsi="Bookman Old Style"/>
        </w:rPr>
      </w:pPr>
    </w:p>
    <w:p w:rsidR="006C0B5E" w:rsidRDefault="006C0B5E" w:rsidP="002E7FA8">
      <w:pPr>
        <w:ind w:firstLine="1440"/>
        <w:jc w:val="both"/>
        <w:outlineLvl w:val="0"/>
        <w:rPr>
          <w:rFonts w:ascii="Bookman Old Style" w:hAnsi="Bookman Old Style"/>
        </w:rPr>
      </w:pPr>
    </w:p>
    <w:p w:rsidR="006C0B5E" w:rsidRDefault="006C0B5E" w:rsidP="002E7FA8">
      <w:pPr>
        <w:ind w:firstLine="1440"/>
        <w:outlineLvl w:val="0"/>
        <w:rPr>
          <w:rFonts w:ascii="Bookman Old Style" w:hAnsi="Bookman Old Style"/>
        </w:rPr>
      </w:pPr>
    </w:p>
    <w:p w:rsidR="006C0B5E" w:rsidRDefault="006C0B5E" w:rsidP="002E7FA8">
      <w:pPr>
        <w:ind w:firstLine="1440"/>
        <w:outlineLvl w:val="0"/>
        <w:rPr>
          <w:rFonts w:ascii="Bookman Old Style" w:hAnsi="Bookman Old Style"/>
        </w:rPr>
      </w:pPr>
    </w:p>
    <w:p w:rsidR="006C0B5E" w:rsidRDefault="006C0B5E" w:rsidP="002E7FA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junho de 2011.</w:t>
      </w:r>
    </w:p>
    <w:p w:rsidR="006C0B5E" w:rsidRDefault="006C0B5E">
      <w:pPr>
        <w:ind w:firstLine="1440"/>
        <w:rPr>
          <w:rFonts w:ascii="Bookman Old Style" w:hAnsi="Bookman Old Style"/>
        </w:rPr>
      </w:pPr>
    </w:p>
    <w:p w:rsidR="006C0B5E" w:rsidRDefault="006C0B5E">
      <w:pPr>
        <w:rPr>
          <w:rFonts w:ascii="Bookman Old Style" w:hAnsi="Bookman Old Style"/>
        </w:rPr>
      </w:pPr>
    </w:p>
    <w:p w:rsidR="006C0B5E" w:rsidRDefault="006C0B5E">
      <w:pPr>
        <w:ind w:firstLine="1440"/>
        <w:rPr>
          <w:rFonts w:ascii="Bookman Old Style" w:hAnsi="Bookman Old Style"/>
        </w:rPr>
      </w:pPr>
    </w:p>
    <w:p w:rsidR="006C0B5E" w:rsidRDefault="006C0B5E">
      <w:pPr>
        <w:ind w:firstLine="1440"/>
        <w:rPr>
          <w:rFonts w:ascii="Bookman Old Style" w:hAnsi="Bookman Old Style"/>
        </w:rPr>
      </w:pPr>
    </w:p>
    <w:p w:rsidR="006C0B5E" w:rsidRDefault="006C0B5E">
      <w:pPr>
        <w:ind w:firstLine="1440"/>
        <w:rPr>
          <w:rFonts w:ascii="Bookman Old Style" w:hAnsi="Bookman Old Style"/>
        </w:rPr>
      </w:pPr>
    </w:p>
    <w:p w:rsidR="006C0B5E" w:rsidRDefault="006C0B5E" w:rsidP="002E7FA8">
      <w:pPr>
        <w:jc w:val="center"/>
        <w:outlineLvl w:val="0"/>
        <w:rPr>
          <w:rFonts w:ascii="Bookman Old Style" w:hAnsi="Bookman Old Style"/>
          <w:b/>
        </w:rPr>
      </w:pPr>
    </w:p>
    <w:p w:rsidR="006C0B5E" w:rsidRDefault="006C0B5E" w:rsidP="002E7FA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C0B5E" w:rsidRDefault="006C0B5E" w:rsidP="002E7FA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C0B5E" w:rsidRDefault="006C0B5E" w:rsidP="002E7FA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A8" w:rsidRDefault="002E7FA8">
      <w:r>
        <w:separator/>
      </w:r>
    </w:p>
  </w:endnote>
  <w:endnote w:type="continuationSeparator" w:id="0">
    <w:p w:rsidR="002E7FA8" w:rsidRDefault="002E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A8" w:rsidRDefault="002E7FA8">
      <w:r>
        <w:separator/>
      </w:r>
    </w:p>
  </w:footnote>
  <w:footnote w:type="continuationSeparator" w:id="0">
    <w:p w:rsidR="002E7FA8" w:rsidRDefault="002E7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7FA8"/>
    <w:rsid w:val="003D3AA8"/>
    <w:rsid w:val="004C67DE"/>
    <w:rsid w:val="006C0B5E"/>
    <w:rsid w:val="009F196D"/>
    <w:rsid w:val="00A9035B"/>
    <w:rsid w:val="00AA542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C0B5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C0B5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