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89" w:rsidRDefault="00DB3D89" w:rsidP="00B41693">
      <w:pPr>
        <w:pStyle w:val="Ttulo"/>
      </w:pPr>
      <w:bookmarkStart w:id="0" w:name="_GoBack"/>
      <w:bookmarkEnd w:id="0"/>
      <w:r>
        <w:t>INDICAÇÃO Nº 1564/2010</w:t>
      </w:r>
    </w:p>
    <w:p w:rsidR="00DB3D89" w:rsidRDefault="00DB3D89">
      <w:pPr>
        <w:jc w:val="center"/>
        <w:rPr>
          <w:rFonts w:ascii="Bookman Old Style" w:hAnsi="Bookman Old Style"/>
          <w:b/>
          <w:u w:val="single"/>
        </w:rPr>
      </w:pPr>
    </w:p>
    <w:p w:rsidR="00DB3D89" w:rsidRDefault="00DB3D89">
      <w:pPr>
        <w:jc w:val="center"/>
        <w:rPr>
          <w:rFonts w:ascii="Bookman Old Style" w:hAnsi="Bookman Old Style"/>
          <w:b/>
          <w:u w:val="single"/>
        </w:rPr>
      </w:pPr>
    </w:p>
    <w:p w:rsidR="00DB3D89" w:rsidRDefault="00DB3D89" w:rsidP="00B41693">
      <w:pPr>
        <w:pStyle w:val="Recuodecorpodetexto"/>
        <w:ind w:left="4440"/>
      </w:pPr>
      <w:r>
        <w:t>“Quanto à operação ‘tapa-buracos’ em toda extensão da Rua Vitório Furlan, no Bairro Furlan.”</w:t>
      </w:r>
    </w:p>
    <w:p w:rsidR="00DB3D89" w:rsidRDefault="00DB3D89" w:rsidP="00B41693">
      <w:pPr>
        <w:tabs>
          <w:tab w:val="left" w:pos="7380"/>
        </w:tabs>
        <w:ind w:left="1440" w:firstLine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B3D89" w:rsidRDefault="00DB3D89">
      <w:pPr>
        <w:ind w:left="1440" w:firstLine="3600"/>
        <w:jc w:val="both"/>
        <w:rPr>
          <w:rFonts w:ascii="Bookman Old Style" w:hAnsi="Bookman Old Style"/>
        </w:rPr>
      </w:pPr>
    </w:p>
    <w:p w:rsidR="00DB3D89" w:rsidRDefault="00DB3D89">
      <w:pPr>
        <w:ind w:left="1440" w:firstLine="3600"/>
        <w:jc w:val="both"/>
        <w:rPr>
          <w:rFonts w:ascii="Bookman Old Style" w:hAnsi="Bookman Old Style"/>
        </w:rPr>
      </w:pPr>
    </w:p>
    <w:p w:rsidR="00DB3D89" w:rsidRDefault="00DB3D89">
      <w:pPr>
        <w:ind w:left="1440" w:firstLine="3600"/>
        <w:jc w:val="both"/>
        <w:rPr>
          <w:rFonts w:ascii="Bookman Old Style" w:hAnsi="Bookman Old Style"/>
        </w:rPr>
      </w:pPr>
    </w:p>
    <w:p w:rsidR="00DB3D89" w:rsidRPr="003977F2" w:rsidRDefault="00DB3D89" w:rsidP="00B4169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“operação tapa-buracos” em toda extensão da Rua Vitório Furlan.</w:t>
      </w:r>
    </w:p>
    <w:p w:rsidR="00DB3D89" w:rsidRDefault="00DB3D89" w:rsidP="00B41693">
      <w:pPr>
        <w:jc w:val="center"/>
        <w:rPr>
          <w:rFonts w:ascii="Bookman Old Style" w:hAnsi="Bookman Old Style"/>
          <w:b/>
        </w:rPr>
      </w:pPr>
    </w:p>
    <w:p w:rsidR="00DB3D89" w:rsidRDefault="00DB3D89" w:rsidP="00B41693">
      <w:pPr>
        <w:jc w:val="center"/>
        <w:rPr>
          <w:rFonts w:ascii="Bookman Old Style" w:hAnsi="Bookman Old Style"/>
          <w:b/>
        </w:rPr>
      </w:pPr>
    </w:p>
    <w:p w:rsidR="00DB3D89" w:rsidRDefault="00DB3D89" w:rsidP="00B4169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3D89" w:rsidRDefault="00DB3D89" w:rsidP="00B41693">
      <w:pPr>
        <w:jc w:val="center"/>
        <w:rPr>
          <w:rFonts w:ascii="Bookman Old Style" w:hAnsi="Bookman Old Style"/>
          <w:b/>
        </w:rPr>
      </w:pPr>
    </w:p>
    <w:p w:rsidR="00DB3D89" w:rsidRDefault="00DB3D89" w:rsidP="00B41693">
      <w:pPr>
        <w:jc w:val="center"/>
        <w:rPr>
          <w:rFonts w:ascii="Bookman Old Style" w:hAnsi="Bookman Old Style"/>
          <w:b/>
        </w:rPr>
      </w:pPr>
    </w:p>
    <w:p w:rsidR="00DB3D89" w:rsidRDefault="00DB3D89" w:rsidP="00B41693">
      <w:pPr>
        <w:jc w:val="center"/>
        <w:rPr>
          <w:rFonts w:ascii="Bookman Old Style" w:hAnsi="Bookman Old Style"/>
          <w:b/>
        </w:rPr>
      </w:pPr>
    </w:p>
    <w:p w:rsidR="00DB3D89" w:rsidRDefault="00DB3D89" w:rsidP="00B416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dos buracos existentes na referida rua, e pedem providências, pois, pedestres, ciclistas e motociclistas correm riscos, devido a veículos que, tentam desviar dos buracos, jogando o carro repentinamente para um dos lados.</w:t>
      </w:r>
    </w:p>
    <w:p w:rsidR="00DB3D89" w:rsidRDefault="00DB3D89" w:rsidP="00B41693">
      <w:pPr>
        <w:ind w:firstLine="1440"/>
        <w:jc w:val="both"/>
        <w:rPr>
          <w:rFonts w:ascii="Bookman Old Style" w:hAnsi="Bookman Old Style"/>
        </w:rPr>
      </w:pPr>
    </w:p>
    <w:p w:rsidR="00DB3D89" w:rsidRDefault="00DB3D89" w:rsidP="00B4169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DB3D89" w:rsidRDefault="00DB3D89" w:rsidP="00B41693">
      <w:pPr>
        <w:ind w:firstLine="1440"/>
        <w:jc w:val="both"/>
        <w:rPr>
          <w:rFonts w:ascii="Bookman Old Style" w:hAnsi="Bookman Old Style"/>
        </w:rPr>
      </w:pPr>
    </w:p>
    <w:p w:rsidR="00DB3D89" w:rsidRDefault="00DB3D89" w:rsidP="00B41693">
      <w:pPr>
        <w:ind w:firstLine="1440"/>
        <w:jc w:val="both"/>
        <w:outlineLvl w:val="0"/>
        <w:rPr>
          <w:rFonts w:ascii="Bookman Old Style" w:hAnsi="Bookman Old Style"/>
        </w:rPr>
      </w:pPr>
    </w:p>
    <w:p w:rsidR="00DB3D89" w:rsidRDefault="00DB3D89" w:rsidP="00B41693">
      <w:pPr>
        <w:ind w:firstLine="1440"/>
        <w:outlineLvl w:val="0"/>
        <w:rPr>
          <w:rFonts w:ascii="Bookman Old Style" w:hAnsi="Bookman Old Style"/>
        </w:rPr>
      </w:pPr>
    </w:p>
    <w:p w:rsidR="00DB3D89" w:rsidRDefault="00DB3D89" w:rsidP="00B41693">
      <w:pPr>
        <w:ind w:firstLine="1440"/>
        <w:outlineLvl w:val="0"/>
        <w:rPr>
          <w:rFonts w:ascii="Bookman Old Style" w:hAnsi="Bookman Old Style"/>
        </w:rPr>
      </w:pPr>
    </w:p>
    <w:p w:rsidR="00DB3D89" w:rsidRDefault="00DB3D89" w:rsidP="00B4169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abril de 2010.</w:t>
      </w:r>
    </w:p>
    <w:p w:rsidR="00DB3D89" w:rsidRDefault="00DB3D89">
      <w:pPr>
        <w:ind w:firstLine="1440"/>
        <w:rPr>
          <w:rFonts w:ascii="Bookman Old Style" w:hAnsi="Bookman Old Style"/>
        </w:rPr>
      </w:pPr>
    </w:p>
    <w:p w:rsidR="00DB3D89" w:rsidRDefault="00DB3D89">
      <w:pPr>
        <w:rPr>
          <w:rFonts w:ascii="Bookman Old Style" w:hAnsi="Bookman Old Style"/>
        </w:rPr>
      </w:pPr>
    </w:p>
    <w:p w:rsidR="00DB3D89" w:rsidRDefault="00DB3D89">
      <w:pPr>
        <w:ind w:firstLine="1440"/>
        <w:rPr>
          <w:rFonts w:ascii="Bookman Old Style" w:hAnsi="Bookman Old Style"/>
        </w:rPr>
      </w:pPr>
    </w:p>
    <w:p w:rsidR="00DB3D89" w:rsidRDefault="00DB3D89">
      <w:pPr>
        <w:ind w:firstLine="1440"/>
        <w:rPr>
          <w:rFonts w:ascii="Bookman Old Style" w:hAnsi="Bookman Old Style"/>
        </w:rPr>
      </w:pPr>
    </w:p>
    <w:p w:rsidR="00DB3D89" w:rsidRDefault="00DB3D89">
      <w:pPr>
        <w:ind w:firstLine="1440"/>
        <w:rPr>
          <w:rFonts w:ascii="Bookman Old Style" w:hAnsi="Bookman Old Style"/>
        </w:rPr>
      </w:pPr>
    </w:p>
    <w:p w:rsidR="00DB3D89" w:rsidRDefault="00DB3D89" w:rsidP="00B41693">
      <w:pPr>
        <w:jc w:val="center"/>
        <w:outlineLvl w:val="0"/>
        <w:rPr>
          <w:rFonts w:ascii="Bookman Old Style" w:hAnsi="Bookman Old Style"/>
          <w:b/>
        </w:rPr>
      </w:pPr>
    </w:p>
    <w:p w:rsidR="00DB3D89" w:rsidRDefault="00DB3D89" w:rsidP="00B416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B3D89" w:rsidRDefault="00DB3D89" w:rsidP="00B4169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B3D89" w:rsidRDefault="00DB3D89" w:rsidP="00B4169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93" w:rsidRDefault="00B41693">
      <w:r>
        <w:separator/>
      </w:r>
    </w:p>
  </w:endnote>
  <w:endnote w:type="continuationSeparator" w:id="0">
    <w:p w:rsidR="00B41693" w:rsidRDefault="00B4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93" w:rsidRDefault="00B41693">
      <w:r>
        <w:separator/>
      </w:r>
    </w:p>
  </w:footnote>
  <w:footnote w:type="continuationSeparator" w:id="0">
    <w:p w:rsidR="00B41693" w:rsidRDefault="00B4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41693"/>
    <w:rsid w:val="00CD613B"/>
    <w:rsid w:val="00D97D8F"/>
    <w:rsid w:val="00D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3D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3D8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