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3C" w:rsidRDefault="003B213C" w:rsidP="005C2F2C">
      <w:pPr>
        <w:pStyle w:val="Ttulo"/>
      </w:pPr>
      <w:bookmarkStart w:id="0" w:name="_GoBack"/>
      <w:bookmarkEnd w:id="0"/>
      <w:r>
        <w:t>INDICAÇÃO Nº 1566/2010</w:t>
      </w:r>
    </w:p>
    <w:p w:rsidR="003B213C" w:rsidRDefault="003B213C">
      <w:pPr>
        <w:jc w:val="center"/>
        <w:rPr>
          <w:rFonts w:ascii="Bookman Old Style" w:hAnsi="Bookman Old Style"/>
          <w:b/>
          <w:u w:val="single"/>
        </w:rPr>
      </w:pPr>
    </w:p>
    <w:p w:rsidR="003B213C" w:rsidRDefault="003B213C">
      <w:pPr>
        <w:jc w:val="center"/>
        <w:rPr>
          <w:rFonts w:ascii="Bookman Old Style" w:hAnsi="Bookman Old Style"/>
          <w:b/>
          <w:u w:val="single"/>
        </w:rPr>
      </w:pPr>
    </w:p>
    <w:p w:rsidR="003B213C" w:rsidRDefault="003B213C" w:rsidP="005C2F2C">
      <w:pPr>
        <w:pStyle w:val="Recuodecorpodetexto"/>
        <w:ind w:left="4440"/>
      </w:pPr>
      <w:r>
        <w:t>“Quanto à limpeza em área pública localizada na Rua Benedito dos Santos Ferreira, próximo ao nº 17, Conjunto Habitacional dos Trabalhadores.”</w:t>
      </w:r>
    </w:p>
    <w:p w:rsidR="003B213C" w:rsidRDefault="003B213C" w:rsidP="005C2F2C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B213C" w:rsidRDefault="003B213C">
      <w:pPr>
        <w:ind w:left="1440" w:firstLine="3600"/>
        <w:jc w:val="both"/>
        <w:rPr>
          <w:rFonts w:ascii="Bookman Old Style" w:hAnsi="Bookman Old Style"/>
        </w:rPr>
      </w:pPr>
    </w:p>
    <w:p w:rsidR="003B213C" w:rsidRDefault="003B213C">
      <w:pPr>
        <w:ind w:left="1440" w:firstLine="3600"/>
        <w:jc w:val="both"/>
        <w:rPr>
          <w:rFonts w:ascii="Bookman Old Style" w:hAnsi="Bookman Old Style"/>
        </w:rPr>
      </w:pPr>
    </w:p>
    <w:p w:rsidR="003B213C" w:rsidRDefault="003B213C">
      <w:pPr>
        <w:ind w:left="1440" w:firstLine="3600"/>
        <w:jc w:val="both"/>
        <w:rPr>
          <w:rFonts w:ascii="Bookman Old Style" w:hAnsi="Bookman Old Style"/>
        </w:rPr>
      </w:pPr>
    </w:p>
    <w:p w:rsidR="003B213C" w:rsidRPr="003977F2" w:rsidRDefault="003B213C" w:rsidP="005C2F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terreno supra.</w:t>
      </w: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</w:p>
    <w:p w:rsidR="003B213C" w:rsidRDefault="003B213C" w:rsidP="005C2F2C">
      <w:pPr>
        <w:jc w:val="center"/>
        <w:rPr>
          <w:rFonts w:ascii="Bookman Old Style" w:hAnsi="Bookman Old Style"/>
          <w:b/>
        </w:rPr>
      </w:pPr>
    </w:p>
    <w:p w:rsidR="003B213C" w:rsidRDefault="003B213C" w:rsidP="005C2F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Benedito dos Santos Ferreira, reclamam dos entulhos depositados na área publica ali localizada, que atraem insetos e ratos que estão invadindo residências, pondo em risco a saúde dos moradores.</w:t>
      </w:r>
    </w:p>
    <w:p w:rsidR="003B213C" w:rsidRDefault="003B213C" w:rsidP="005C2F2C">
      <w:pPr>
        <w:ind w:firstLine="1440"/>
        <w:jc w:val="both"/>
        <w:rPr>
          <w:rFonts w:ascii="Bookman Old Style" w:hAnsi="Bookman Old Style"/>
        </w:rPr>
      </w:pPr>
    </w:p>
    <w:p w:rsidR="003B213C" w:rsidRDefault="003B213C" w:rsidP="005C2F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B213C" w:rsidRDefault="003B213C" w:rsidP="005C2F2C">
      <w:pPr>
        <w:ind w:firstLine="1440"/>
        <w:jc w:val="both"/>
        <w:rPr>
          <w:rFonts w:ascii="Bookman Old Style" w:hAnsi="Bookman Old Style"/>
        </w:rPr>
      </w:pPr>
    </w:p>
    <w:p w:rsidR="003B213C" w:rsidRDefault="003B213C" w:rsidP="005C2F2C">
      <w:pPr>
        <w:ind w:firstLine="1440"/>
        <w:jc w:val="both"/>
        <w:outlineLvl w:val="0"/>
        <w:rPr>
          <w:rFonts w:ascii="Bookman Old Style" w:hAnsi="Bookman Old Style"/>
        </w:rPr>
      </w:pPr>
    </w:p>
    <w:p w:rsidR="003B213C" w:rsidRDefault="003B213C" w:rsidP="005C2F2C">
      <w:pPr>
        <w:ind w:firstLine="1440"/>
        <w:outlineLvl w:val="0"/>
        <w:rPr>
          <w:rFonts w:ascii="Bookman Old Style" w:hAnsi="Bookman Old Style"/>
        </w:rPr>
      </w:pPr>
    </w:p>
    <w:p w:rsidR="003B213C" w:rsidRDefault="003B213C" w:rsidP="005C2F2C">
      <w:pPr>
        <w:ind w:firstLine="1440"/>
        <w:outlineLvl w:val="0"/>
        <w:rPr>
          <w:rFonts w:ascii="Bookman Old Style" w:hAnsi="Bookman Old Style"/>
        </w:rPr>
      </w:pPr>
    </w:p>
    <w:p w:rsidR="003B213C" w:rsidRDefault="003B213C" w:rsidP="005C2F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3B213C" w:rsidRDefault="003B213C">
      <w:pPr>
        <w:ind w:firstLine="1440"/>
        <w:rPr>
          <w:rFonts w:ascii="Bookman Old Style" w:hAnsi="Bookman Old Style"/>
        </w:rPr>
      </w:pPr>
    </w:p>
    <w:p w:rsidR="003B213C" w:rsidRDefault="003B213C">
      <w:pPr>
        <w:rPr>
          <w:rFonts w:ascii="Bookman Old Style" w:hAnsi="Bookman Old Style"/>
        </w:rPr>
      </w:pPr>
    </w:p>
    <w:p w:rsidR="003B213C" w:rsidRDefault="003B213C">
      <w:pPr>
        <w:ind w:firstLine="1440"/>
        <w:rPr>
          <w:rFonts w:ascii="Bookman Old Style" w:hAnsi="Bookman Old Style"/>
        </w:rPr>
      </w:pPr>
    </w:p>
    <w:p w:rsidR="003B213C" w:rsidRDefault="003B213C">
      <w:pPr>
        <w:ind w:firstLine="1440"/>
        <w:rPr>
          <w:rFonts w:ascii="Bookman Old Style" w:hAnsi="Bookman Old Style"/>
        </w:rPr>
      </w:pPr>
    </w:p>
    <w:p w:rsidR="003B213C" w:rsidRDefault="003B213C">
      <w:pPr>
        <w:ind w:firstLine="1440"/>
        <w:rPr>
          <w:rFonts w:ascii="Bookman Old Style" w:hAnsi="Bookman Old Style"/>
        </w:rPr>
      </w:pPr>
    </w:p>
    <w:p w:rsidR="003B213C" w:rsidRDefault="003B213C" w:rsidP="005C2F2C">
      <w:pPr>
        <w:jc w:val="center"/>
        <w:outlineLvl w:val="0"/>
        <w:rPr>
          <w:rFonts w:ascii="Bookman Old Style" w:hAnsi="Bookman Old Style"/>
          <w:b/>
        </w:rPr>
      </w:pPr>
    </w:p>
    <w:p w:rsidR="003B213C" w:rsidRDefault="003B213C" w:rsidP="005C2F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213C" w:rsidRDefault="003B213C" w:rsidP="005C2F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B213C" w:rsidRDefault="003B213C" w:rsidP="005C2F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2C" w:rsidRDefault="005C2F2C">
      <w:r>
        <w:separator/>
      </w:r>
    </w:p>
  </w:endnote>
  <w:endnote w:type="continuationSeparator" w:id="0">
    <w:p w:rsidR="005C2F2C" w:rsidRDefault="005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2C" w:rsidRDefault="005C2F2C">
      <w:r>
        <w:separator/>
      </w:r>
    </w:p>
  </w:footnote>
  <w:footnote w:type="continuationSeparator" w:id="0">
    <w:p w:rsidR="005C2F2C" w:rsidRDefault="005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13C"/>
    <w:rsid w:val="003D3AA8"/>
    <w:rsid w:val="004C67DE"/>
    <w:rsid w:val="005C2F2C"/>
    <w:rsid w:val="009F196D"/>
    <w:rsid w:val="00A9035B"/>
    <w:rsid w:val="00CD613B"/>
    <w:rsid w:val="00D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21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21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