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D8" w:rsidRDefault="004B65D8" w:rsidP="007D21F8">
      <w:pPr>
        <w:pStyle w:val="Ttulo"/>
      </w:pPr>
      <w:bookmarkStart w:id="0" w:name="_GoBack"/>
      <w:bookmarkEnd w:id="0"/>
      <w:r>
        <w:t>INDICAÇÃO Nº 1749/2010</w:t>
      </w:r>
    </w:p>
    <w:p w:rsidR="004B65D8" w:rsidRDefault="004B65D8">
      <w:pPr>
        <w:jc w:val="center"/>
        <w:rPr>
          <w:rFonts w:ascii="Bookman Old Style" w:hAnsi="Bookman Old Style"/>
          <w:b/>
          <w:u w:val="single"/>
        </w:rPr>
      </w:pPr>
    </w:p>
    <w:p w:rsidR="004B65D8" w:rsidRDefault="004B65D8">
      <w:pPr>
        <w:jc w:val="center"/>
        <w:rPr>
          <w:rFonts w:ascii="Bookman Old Style" w:hAnsi="Bookman Old Style"/>
          <w:b/>
          <w:u w:val="single"/>
        </w:rPr>
      </w:pPr>
    </w:p>
    <w:p w:rsidR="004B65D8" w:rsidRDefault="004B65D8" w:rsidP="007D21F8">
      <w:pPr>
        <w:pStyle w:val="Recuodecorpodetexto"/>
        <w:ind w:left="4440"/>
      </w:pPr>
      <w:r>
        <w:t xml:space="preserve">“Quanto à Operação ‘tapa-buracos’ na Rua Itambé, 321, Jardim Icaraí”. </w:t>
      </w:r>
    </w:p>
    <w:p w:rsidR="004B65D8" w:rsidRDefault="004B65D8">
      <w:pPr>
        <w:ind w:left="1440" w:firstLine="3600"/>
        <w:jc w:val="both"/>
        <w:rPr>
          <w:rFonts w:ascii="Bookman Old Style" w:hAnsi="Bookman Old Style"/>
        </w:rPr>
      </w:pPr>
    </w:p>
    <w:p w:rsidR="004B65D8" w:rsidRDefault="004B65D8">
      <w:pPr>
        <w:ind w:left="1440" w:firstLine="3600"/>
        <w:jc w:val="both"/>
        <w:rPr>
          <w:rFonts w:ascii="Bookman Old Style" w:hAnsi="Bookman Old Style"/>
        </w:rPr>
      </w:pPr>
    </w:p>
    <w:p w:rsidR="004B65D8" w:rsidRDefault="004B65D8">
      <w:pPr>
        <w:ind w:left="1440" w:firstLine="3600"/>
        <w:jc w:val="both"/>
        <w:rPr>
          <w:rFonts w:ascii="Bookman Old Style" w:hAnsi="Bookman Old Style"/>
        </w:rPr>
      </w:pPr>
    </w:p>
    <w:p w:rsidR="004B65D8" w:rsidRDefault="004B65D8">
      <w:pPr>
        <w:ind w:left="1440" w:firstLine="3600"/>
        <w:jc w:val="both"/>
        <w:rPr>
          <w:rFonts w:ascii="Bookman Old Style" w:hAnsi="Bookman Old Style"/>
        </w:rPr>
      </w:pPr>
    </w:p>
    <w:p w:rsidR="004B65D8" w:rsidRPr="00177AD0" w:rsidRDefault="004B65D8" w:rsidP="007D21F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chamada operação “tapa-buracos”, na Rua Itambé, próximo à residência de nº 321, Icaraí.</w:t>
      </w:r>
    </w:p>
    <w:p w:rsidR="004B65D8" w:rsidRPr="003977F2" w:rsidRDefault="004B65D8" w:rsidP="007D21F8">
      <w:pPr>
        <w:jc w:val="center"/>
        <w:rPr>
          <w:rFonts w:ascii="Bookman Old Style" w:hAnsi="Bookman Old Style"/>
          <w:b/>
        </w:rPr>
      </w:pPr>
    </w:p>
    <w:p w:rsidR="004B65D8" w:rsidRDefault="004B65D8" w:rsidP="007D21F8">
      <w:pPr>
        <w:jc w:val="center"/>
        <w:rPr>
          <w:rFonts w:ascii="Bookman Old Style" w:hAnsi="Bookman Old Style"/>
          <w:b/>
        </w:rPr>
      </w:pPr>
    </w:p>
    <w:p w:rsidR="004B65D8" w:rsidRDefault="004B65D8" w:rsidP="007D21F8">
      <w:pPr>
        <w:jc w:val="center"/>
        <w:rPr>
          <w:rFonts w:ascii="Bookman Old Style" w:hAnsi="Bookman Old Style"/>
          <w:b/>
        </w:rPr>
      </w:pPr>
    </w:p>
    <w:p w:rsidR="004B65D8" w:rsidRDefault="004B65D8" w:rsidP="007D21F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B65D8" w:rsidRDefault="004B65D8" w:rsidP="007D21F8">
      <w:pPr>
        <w:jc w:val="center"/>
        <w:rPr>
          <w:rFonts w:ascii="Bookman Old Style" w:hAnsi="Bookman Old Style"/>
          <w:b/>
        </w:rPr>
      </w:pPr>
    </w:p>
    <w:p w:rsidR="004B65D8" w:rsidRDefault="004B65D8" w:rsidP="007D21F8">
      <w:pPr>
        <w:jc w:val="center"/>
        <w:rPr>
          <w:rFonts w:ascii="Bookman Old Style" w:hAnsi="Bookman Old Style"/>
          <w:b/>
        </w:rPr>
      </w:pPr>
    </w:p>
    <w:p w:rsidR="004B65D8" w:rsidRDefault="004B65D8" w:rsidP="007D21F8">
      <w:pPr>
        <w:ind w:firstLine="1440"/>
        <w:jc w:val="both"/>
        <w:rPr>
          <w:rFonts w:ascii="Bookman Old Style" w:hAnsi="Bookman Old Style"/>
        </w:rPr>
      </w:pPr>
    </w:p>
    <w:p w:rsidR="004B65D8" w:rsidRDefault="004B65D8" w:rsidP="007D21F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Ocorre que, os buracos se formaram próximo à uma curva ligeiramente acentuada, e alguns motoristas ao tentarem desviar acabam causado acidentes.</w:t>
      </w:r>
    </w:p>
    <w:p w:rsidR="004B65D8" w:rsidRDefault="004B65D8" w:rsidP="007D21F8">
      <w:pPr>
        <w:ind w:firstLine="1440"/>
        <w:jc w:val="both"/>
        <w:rPr>
          <w:rFonts w:ascii="Bookman Old Style" w:hAnsi="Bookman Old Style"/>
        </w:rPr>
      </w:pPr>
    </w:p>
    <w:p w:rsidR="004B65D8" w:rsidRDefault="004B65D8" w:rsidP="007D21F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pedem providências, antes que algum acidente fatal venha a ocorrer.</w:t>
      </w:r>
    </w:p>
    <w:p w:rsidR="004B65D8" w:rsidRDefault="004B65D8" w:rsidP="007D21F8">
      <w:pPr>
        <w:ind w:firstLine="1440"/>
        <w:jc w:val="both"/>
        <w:rPr>
          <w:rFonts w:ascii="Bookman Old Style" w:hAnsi="Bookman Old Style"/>
        </w:rPr>
      </w:pPr>
    </w:p>
    <w:p w:rsidR="004B65D8" w:rsidRDefault="004B65D8" w:rsidP="007D21F8">
      <w:pPr>
        <w:ind w:firstLine="1440"/>
        <w:jc w:val="both"/>
        <w:outlineLvl w:val="0"/>
        <w:rPr>
          <w:rFonts w:ascii="Bookman Old Style" w:hAnsi="Bookman Old Style"/>
        </w:rPr>
      </w:pPr>
    </w:p>
    <w:p w:rsidR="004B65D8" w:rsidRDefault="004B65D8" w:rsidP="007D21F8">
      <w:pPr>
        <w:ind w:firstLine="1440"/>
        <w:outlineLvl w:val="0"/>
        <w:rPr>
          <w:rFonts w:ascii="Bookman Old Style" w:hAnsi="Bookman Old Style"/>
        </w:rPr>
      </w:pPr>
    </w:p>
    <w:p w:rsidR="004B65D8" w:rsidRDefault="004B65D8" w:rsidP="007D21F8">
      <w:pPr>
        <w:ind w:firstLine="1440"/>
        <w:outlineLvl w:val="0"/>
        <w:rPr>
          <w:rFonts w:ascii="Bookman Old Style" w:hAnsi="Bookman Old Style"/>
        </w:rPr>
      </w:pPr>
    </w:p>
    <w:p w:rsidR="004B65D8" w:rsidRDefault="004B65D8" w:rsidP="007D21F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maio de 2010.</w:t>
      </w:r>
    </w:p>
    <w:p w:rsidR="004B65D8" w:rsidRDefault="004B65D8">
      <w:pPr>
        <w:ind w:firstLine="1440"/>
        <w:rPr>
          <w:rFonts w:ascii="Bookman Old Style" w:hAnsi="Bookman Old Style"/>
        </w:rPr>
      </w:pPr>
    </w:p>
    <w:p w:rsidR="004B65D8" w:rsidRDefault="004B65D8">
      <w:pPr>
        <w:rPr>
          <w:rFonts w:ascii="Bookman Old Style" w:hAnsi="Bookman Old Style"/>
        </w:rPr>
      </w:pPr>
    </w:p>
    <w:p w:rsidR="004B65D8" w:rsidRDefault="004B65D8" w:rsidP="007D21F8">
      <w:pPr>
        <w:rPr>
          <w:rFonts w:ascii="Bookman Old Style" w:hAnsi="Bookman Old Style"/>
        </w:rPr>
      </w:pPr>
    </w:p>
    <w:p w:rsidR="004B65D8" w:rsidRDefault="004B65D8" w:rsidP="007D21F8">
      <w:pPr>
        <w:jc w:val="center"/>
        <w:outlineLvl w:val="0"/>
        <w:rPr>
          <w:rFonts w:ascii="Bookman Old Style" w:hAnsi="Bookman Old Style"/>
          <w:b/>
        </w:rPr>
      </w:pPr>
    </w:p>
    <w:p w:rsidR="004B65D8" w:rsidRDefault="004B65D8" w:rsidP="007D21F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4B65D8" w:rsidRDefault="004B65D8" w:rsidP="007D21F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4B65D8" w:rsidRDefault="004B65D8" w:rsidP="007D21F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1F8" w:rsidRDefault="007D21F8">
      <w:r>
        <w:separator/>
      </w:r>
    </w:p>
  </w:endnote>
  <w:endnote w:type="continuationSeparator" w:id="0">
    <w:p w:rsidR="007D21F8" w:rsidRDefault="007D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1F8" w:rsidRDefault="007D21F8">
      <w:r>
        <w:separator/>
      </w:r>
    </w:p>
  </w:footnote>
  <w:footnote w:type="continuationSeparator" w:id="0">
    <w:p w:rsidR="007D21F8" w:rsidRDefault="007D2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B65D8"/>
    <w:rsid w:val="004C67DE"/>
    <w:rsid w:val="007D21F8"/>
    <w:rsid w:val="009F196D"/>
    <w:rsid w:val="00A9035B"/>
    <w:rsid w:val="00CD613B"/>
    <w:rsid w:val="00ED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B65D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B65D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