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D9" w:rsidRDefault="00901BD9" w:rsidP="00901BD9">
      <w:pPr>
        <w:pStyle w:val="Ttulo"/>
      </w:pPr>
      <w:bookmarkStart w:id="0" w:name="_GoBack"/>
      <w:bookmarkEnd w:id="0"/>
      <w:r>
        <w:t>INDICAÇÃO Nº 2193/2010</w:t>
      </w:r>
    </w:p>
    <w:p w:rsidR="00901BD9" w:rsidRDefault="00901BD9" w:rsidP="00901BD9">
      <w:pPr>
        <w:jc w:val="center"/>
        <w:rPr>
          <w:rFonts w:ascii="Bookman Old Style" w:hAnsi="Bookman Old Style"/>
          <w:b/>
          <w:u w:val="single"/>
        </w:rPr>
      </w:pPr>
    </w:p>
    <w:p w:rsidR="00901BD9" w:rsidRDefault="00901BD9" w:rsidP="00901BD9">
      <w:pPr>
        <w:jc w:val="center"/>
        <w:rPr>
          <w:rFonts w:ascii="Bookman Old Style" w:hAnsi="Bookman Old Style"/>
          <w:b/>
          <w:u w:val="single"/>
        </w:rPr>
      </w:pPr>
    </w:p>
    <w:p w:rsidR="00901BD9" w:rsidRDefault="00901BD9" w:rsidP="00901BD9">
      <w:pPr>
        <w:pStyle w:val="Recuodecorpodetexto"/>
        <w:ind w:left="4440"/>
      </w:pPr>
      <w:r>
        <w:t>“Extração da árvore localizadas em frente à residência de nº 105 da Rua ‘Capitão Manoel Caetano’, na Vila Linopolis.”</w:t>
      </w:r>
    </w:p>
    <w:p w:rsidR="00901BD9" w:rsidRDefault="00901BD9" w:rsidP="00901BD9">
      <w:pPr>
        <w:ind w:left="1440" w:firstLine="3600"/>
        <w:jc w:val="both"/>
        <w:rPr>
          <w:rFonts w:ascii="Bookman Old Style" w:hAnsi="Bookman Old Style"/>
        </w:rPr>
      </w:pPr>
    </w:p>
    <w:p w:rsidR="00901BD9" w:rsidRDefault="00901BD9" w:rsidP="00901BD9">
      <w:pPr>
        <w:ind w:left="1440" w:firstLine="3600"/>
        <w:jc w:val="both"/>
        <w:rPr>
          <w:rFonts w:ascii="Bookman Old Style" w:hAnsi="Bookman Old Style"/>
        </w:rPr>
      </w:pPr>
    </w:p>
    <w:p w:rsidR="00901BD9" w:rsidRDefault="00901BD9" w:rsidP="00901BD9">
      <w:pPr>
        <w:ind w:left="1440" w:firstLine="3600"/>
        <w:jc w:val="both"/>
        <w:rPr>
          <w:rFonts w:ascii="Bookman Old Style" w:hAnsi="Bookman Old Style"/>
        </w:rPr>
      </w:pPr>
    </w:p>
    <w:p w:rsidR="00901BD9" w:rsidRDefault="00901BD9" w:rsidP="00901BD9">
      <w:pPr>
        <w:ind w:left="1440" w:firstLine="3600"/>
        <w:jc w:val="both"/>
        <w:rPr>
          <w:rFonts w:ascii="Bookman Old Style" w:hAnsi="Bookman Old Style"/>
        </w:rPr>
      </w:pPr>
    </w:p>
    <w:p w:rsidR="00901BD9" w:rsidRPr="00177AD0" w:rsidRDefault="00901BD9" w:rsidP="00901B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extração da árvore supra.</w:t>
      </w:r>
    </w:p>
    <w:p w:rsidR="00901BD9" w:rsidRPr="003977F2" w:rsidRDefault="00901BD9" w:rsidP="00901BD9">
      <w:pPr>
        <w:jc w:val="center"/>
        <w:rPr>
          <w:rFonts w:ascii="Bookman Old Style" w:hAnsi="Bookman Old Style"/>
          <w:b/>
        </w:rPr>
      </w:pPr>
    </w:p>
    <w:p w:rsidR="00901BD9" w:rsidRDefault="00901BD9" w:rsidP="00901BD9">
      <w:pPr>
        <w:jc w:val="center"/>
        <w:rPr>
          <w:rFonts w:ascii="Bookman Old Style" w:hAnsi="Bookman Old Style"/>
          <w:b/>
        </w:rPr>
      </w:pPr>
    </w:p>
    <w:p w:rsidR="00901BD9" w:rsidRDefault="00901BD9" w:rsidP="00901BD9">
      <w:pPr>
        <w:jc w:val="center"/>
        <w:rPr>
          <w:rFonts w:ascii="Bookman Old Style" w:hAnsi="Bookman Old Style"/>
          <w:b/>
        </w:rPr>
      </w:pPr>
    </w:p>
    <w:p w:rsidR="00901BD9" w:rsidRDefault="00901BD9" w:rsidP="00901B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1BD9" w:rsidRDefault="00901BD9" w:rsidP="00901BD9">
      <w:pPr>
        <w:jc w:val="center"/>
        <w:rPr>
          <w:rFonts w:ascii="Bookman Old Style" w:hAnsi="Bookman Old Style"/>
          <w:b/>
        </w:rPr>
      </w:pPr>
    </w:p>
    <w:p w:rsidR="00901BD9" w:rsidRDefault="00901BD9" w:rsidP="00901BD9">
      <w:pPr>
        <w:jc w:val="center"/>
        <w:rPr>
          <w:rFonts w:ascii="Bookman Old Style" w:hAnsi="Bookman Old Style"/>
          <w:b/>
        </w:rPr>
      </w:pPr>
    </w:p>
    <w:p w:rsidR="00901BD9" w:rsidRDefault="00901BD9" w:rsidP="00901BD9">
      <w:pPr>
        <w:ind w:firstLine="1440"/>
        <w:jc w:val="both"/>
        <w:rPr>
          <w:rFonts w:ascii="Bookman Old Style" w:hAnsi="Bookman Old Style"/>
        </w:rPr>
      </w:pPr>
    </w:p>
    <w:p w:rsidR="00901BD9" w:rsidRDefault="00901BD9" w:rsidP="00901B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as raízes expostas, algumas pessoas já sofreram quedas no local devido a situação danificada da calçada. Neste mesmo local, existe um comércio tradicional do bairro, os proprietários pretendem instalar um toldo para se defenderem do sol e a copa da referida árvore impede a instalação. </w:t>
      </w:r>
    </w:p>
    <w:p w:rsidR="00901BD9" w:rsidRDefault="00901BD9" w:rsidP="00901BD9">
      <w:pPr>
        <w:ind w:firstLine="1440"/>
        <w:jc w:val="both"/>
        <w:rPr>
          <w:rFonts w:ascii="Bookman Old Style" w:hAnsi="Bookman Old Style"/>
        </w:rPr>
      </w:pPr>
    </w:p>
    <w:p w:rsidR="00901BD9" w:rsidRDefault="00901BD9" w:rsidP="00901BD9">
      <w:pPr>
        <w:ind w:firstLine="1440"/>
        <w:jc w:val="both"/>
        <w:outlineLvl w:val="0"/>
        <w:rPr>
          <w:rFonts w:ascii="Bookman Old Style" w:hAnsi="Bookman Old Style"/>
        </w:rPr>
      </w:pPr>
    </w:p>
    <w:p w:rsidR="00901BD9" w:rsidRDefault="00901BD9" w:rsidP="00901BD9">
      <w:pPr>
        <w:ind w:firstLine="1440"/>
        <w:outlineLvl w:val="0"/>
        <w:rPr>
          <w:rFonts w:ascii="Bookman Old Style" w:hAnsi="Bookman Old Style"/>
        </w:rPr>
      </w:pPr>
    </w:p>
    <w:p w:rsidR="00901BD9" w:rsidRDefault="00901BD9" w:rsidP="00901BD9">
      <w:pPr>
        <w:ind w:firstLine="1440"/>
        <w:outlineLvl w:val="0"/>
        <w:rPr>
          <w:rFonts w:ascii="Bookman Old Style" w:hAnsi="Bookman Old Style"/>
        </w:rPr>
      </w:pPr>
    </w:p>
    <w:p w:rsidR="00901BD9" w:rsidRDefault="00901BD9" w:rsidP="00901B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901BD9" w:rsidRDefault="00901BD9" w:rsidP="00901BD9">
      <w:pPr>
        <w:ind w:firstLine="1440"/>
        <w:rPr>
          <w:rFonts w:ascii="Bookman Old Style" w:hAnsi="Bookman Old Style"/>
        </w:rPr>
      </w:pPr>
    </w:p>
    <w:p w:rsidR="00901BD9" w:rsidRDefault="00901BD9" w:rsidP="00901BD9">
      <w:pPr>
        <w:rPr>
          <w:rFonts w:ascii="Bookman Old Style" w:hAnsi="Bookman Old Style"/>
        </w:rPr>
      </w:pPr>
    </w:p>
    <w:p w:rsidR="00901BD9" w:rsidRDefault="00901BD9" w:rsidP="00901BD9">
      <w:pPr>
        <w:rPr>
          <w:rFonts w:ascii="Bookman Old Style" w:hAnsi="Bookman Old Style"/>
        </w:rPr>
      </w:pPr>
    </w:p>
    <w:p w:rsidR="00901BD9" w:rsidRDefault="00901BD9" w:rsidP="00901BD9">
      <w:pPr>
        <w:rPr>
          <w:rFonts w:ascii="Bookman Old Style" w:hAnsi="Bookman Old Style"/>
        </w:rPr>
      </w:pPr>
    </w:p>
    <w:p w:rsidR="00901BD9" w:rsidRDefault="00901BD9" w:rsidP="00901BD9">
      <w:pPr>
        <w:jc w:val="center"/>
        <w:outlineLvl w:val="0"/>
        <w:rPr>
          <w:rFonts w:ascii="Bookman Old Style" w:hAnsi="Bookman Old Style"/>
          <w:b/>
        </w:rPr>
      </w:pPr>
    </w:p>
    <w:p w:rsidR="00901BD9" w:rsidRDefault="00901BD9" w:rsidP="00901B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01BD9" w:rsidRDefault="00901BD9" w:rsidP="00901B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01BD9" w:rsidRDefault="00901BD9" w:rsidP="00901B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26" w:rsidRDefault="00C42026">
      <w:r>
        <w:separator/>
      </w:r>
    </w:p>
  </w:endnote>
  <w:endnote w:type="continuationSeparator" w:id="0">
    <w:p w:rsidR="00C42026" w:rsidRDefault="00C4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26" w:rsidRDefault="00C42026">
      <w:r>
        <w:separator/>
      </w:r>
    </w:p>
  </w:footnote>
  <w:footnote w:type="continuationSeparator" w:id="0">
    <w:p w:rsidR="00C42026" w:rsidRDefault="00C4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02C2"/>
    <w:rsid w:val="003D3AA8"/>
    <w:rsid w:val="004C67DE"/>
    <w:rsid w:val="00901BD9"/>
    <w:rsid w:val="009F196D"/>
    <w:rsid w:val="00A9035B"/>
    <w:rsid w:val="00C4202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01B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01BD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01BD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01B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