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15" w:rsidRDefault="002A4C15" w:rsidP="002A4C15">
      <w:pPr>
        <w:pStyle w:val="Ttulo"/>
      </w:pPr>
      <w:bookmarkStart w:id="0" w:name="_GoBack"/>
      <w:bookmarkEnd w:id="0"/>
      <w:r>
        <w:t>INDICAÇÃO Nº 2362/2010</w:t>
      </w:r>
    </w:p>
    <w:p w:rsidR="002A4C15" w:rsidRDefault="002A4C15" w:rsidP="002A4C15">
      <w:pPr>
        <w:jc w:val="center"/>
        <w:rPr>
          <w:rFonts w:ascii="Bookman Old Style" w:hAnsi="Bookman Old Style"/>
          <w:b/>
          <w:u w:val="single"/>
        </w:rPr>
      </w:pPr>
    </w:p>
    <w:p w:rsidR="002A4C15" w:rsidRDefault="002A4C15" w:rsidP="002A4C15">
      <w:pPr>
        <w:jc w:val="center"/>
        <w:rPr>
          <w:rFonts w:ascii="Bookman Old Style" w:hAnsi="Bookman Old Style"/>
          <w:b/>
          <w:u w:val="single"/>
        </w:rPr>
      </w:pPr>
    </w:p>
    <w:p w:rsidR="002A4C15" w:rsidRDefault="002A4C15" w:rsidP="002A4C15">
      <w:pPr>
        <w:pStyle w:val="Recuodecorpodetexto"/>
        <w:ind w:left="4440"/>
      </w:pPr>
      <w:r>
        <w:t>“Operação ‘tapa-buracos’, no cruzamento das Ruas Antonio B. Teodoro com a Roldão Jorge Patrício, Conjunto Habitacional dos Trabalhadores.”</w:t>
      </w:r>
    </w:p>
    <w:p w:rsidR="002A4C15" w:rsidRDefault="002A4C15" w:rsidP="002A4C15">
      <w:pPr>
        <w:ind w:left="1440" w:firstLine="3600"/>
        <w:jc w:val="both"/>
        <w:rPr>
          <w:rFonts w:ascii="Bookman Old Style" w:hAnsi="Bookman Old Style"/>
        </w:rPr>
      </w:pPr>
    </w:p>
    <w:p w:rsidR="002A4C15" w:rsidRDefault="002A4C15" w:rsidP="002A4C15">
      <w:pPr>
        <w:ind w:left="1440" w:firstLine="3600"/>
        <w:jc w:val="both"/>
        <w:rPr>
          <w:rFonts w:ascii="Bookman Old Style" w:hAnsi="Bookman Old Style"/>
        </w:rPr>
      </w:pPr>
    </w:p>
    <w:p w:rsidR="002A4C15" w:rsidRDefault="002A4C15" w:rsidP="002A4C15">
      <w:pPr>
        <w:ind w:left="1440" w:firstLine="3600"/>
        <w:jc w:val="both"/>
        <w:rPr>
          <w:rFonts w:ascii="Bookman Old Style" w:hAnsi="Bookman Old Style"/>
        </w:rPr>
      </w:pPr>
    </w:p>
    <w:p w:rsidR="002A4C15" w:rsidRDefault="002A4C15" w:rsidP="002A4C15">
      <w:pPr>
        <w:ind w:left="1440" w:firstLine="3600"/>
        <w:jc w:val="both"/>
        <w:rPr>
          <w:rFonts w:ascii="Bookman Old Style" w:hAnsi="Bookman Old Style"/>
        </w:rPr>
      </w:pPr>
    </w:p>
    <w:p w:rsidR="002A4C15" w:rsidRDefault="002A4C15" w:rsidP="002A4C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“Operação tapa-buracos no cruzamento supra.</w:t>
      </w:r>
    </w:p>
    <w:p w:rsidR="002A4C15" w:rsidRDefault="002A4C15" w:rsidP="002A4C15">
      <w:pPr>
        <w:ind w:firstLine="1440"/>
        <w:jc w:val="both"/>
        <w:rPr>
          <w:rFonts w:ascii="Bookman Old Style" w:hAnsi="Bookman Old Style"/>
        </w:rPr>
      </w:pPr>
    </w:p>
    <w:p w:rsidR="002A4C15" w:rsidRPr="003977F2" w:rsidRDefault="002A4C15" w:rsidP="002A4C15">
      <w:pPr>
        <w:ind w:firstLine="1440"/>
        <w:jc w:val="both"/>
        <w:rPr>
          <w:rFonts w:ascii="Bookman Old Style" w:hAnsi="Bookman Old Style"/>
          <w:b/>
        </w:rPr>
      </w:pPr>
    </w:p>
    <w:p w:rsidR="002A4C15" w:rsidRDefault="002A4C15" w:rsidP="002A4C15">
      <w:pPr>
        <w:jc w:val="center"/>
        <w:rPr>
          <w:rFonts w:ascii="Bookman Old Style" w:hAnsi="Bookman Old Style"/>
          <w:b/>
        </w:rPr>
      </w:pPr>
    </w:p>
    <w:p w:rsidR="002A4C15" w:rsidRDefault="002A4C15" w:rsidP="002A4C15">
      <w:pPr>
        <w:jc w:val="center"/>
        <w:rPr>
          <w:rFonts w:ascii="Bookman Old Style" w:hAnsi="Bookman Old Style"/>
          <w:b/>
        </w:rPr>
      </w:pPr>
    </w:p>
    <w:p w:rsidR="002A4C15" w:rsidRDefault="002A4C15" w:rsidP="002A4C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A4C15" w:rsidRDefault="002A4C15" w:rsidP="002A4C15">
      <w:pPr>
        <w:jc w:val="center"/>
        <w:rPr>
          <w:rFonts w:ascii="Bookman Old Style" w:hAnsi="Bookman Old Style"/>
          <w:b/>
        </w:rPr>
      </w:pPr>
    </w:p>
    <w:p w:rsidR="002A4C15" w:rsidRDefault="002A4C15" w:rsidP="002A4C15">
      <w:pPr>
        <w:jc w:val="center"/>
        <w:rPr>
          <w:rFonts w:ascii="Bookman Old Style" w:hAnsi="Bookman Old Style"/>
          <w:b/>
        </w:rPr>
      </w:pPr>
    </w:p>
    <w:p w:rsidR="002A4C15" w:rsidRDefault="002A4C15" w:rsidP="002A4C15">
      <w:pPr>
        <w:jc w:val="center"/>
        <w:rPr>
          <w:rFonts w:ascii="Bookman Old Style" w:hAnsi="Bookman Old Style"/>
          <w:b/>
        </w:rPr>
      </w:pPr>
    </w:p>
    <w:p w:rsidR="002A4C15" w:rsidRDefault="002A4C15" w:rsidP="002A4C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Devido à má situação da camada asfáltica no cruzamento, acidentes envolvendo ciclistas e motociclistas vem ocorrendo no local, assim, moradores pedem serviços de tapa-buracos no cruzamento.</w:t>
      </w:r>
    </w:p>
    <w:p w:rsidR="002A4C15" w:rsidRDefault="002A4C15" w:rsidP="002A4C15">
      <w:pPr>
        <w:ind w:firstLine="1440"/>
        <w:jc w:val="both"/>
        <w:rPr>
          <w:rFonts w:ascii="Bookman Old Style" w:hAnsi="Bookman Old Style"/>
        </w:rPr>
      </w:pPr>
    </w:p>
    <w:p w:rsidR="002A4C15" w:rsidRDefault="002A4C15" w:rsidP="002A4C15">
      <w:pPr>
        <w:ind w:firstLine="1440"/>
        <w:jc w:val="both"/>
        <w:outlineLvl w:val="0"/>
        <w:rPr>
          <w:rFonts w:ascii="Bookman Old Style" w:hAnsi="Bookman Old Style"/>
        </w:rPr>
      </w:pPr>
    </w:p>
    <w:p w:rsidR="002A4C15" w:rsidRDefault="002A4C15" w:rsidP="002A4C15">
      <w:pPr>
        <w:ind w:firstLine="1440"/>
        <w:outlineLvl w:val="0"/>
        <w:rPr>
          <w:rFonts w:ascii="Bookman Old Style" w:hAnsi="Bookman Old Style"/>
        </w:rPr>
      </w:pPr>
    </w:p>
    <w:p w:rsidR="002A4C15" w:rsidRDefault="002A4C15" w:rsidP="002A4C15">
      <w:pPr>
        <w:ind w:firstLine="1440"/>
        <w:outlineLvl w:val="0"/>
        <w:rPr>
          <w:rFonts w:ascii="Bookman Old Style" w:hAnsi="Bookman Old Style"/>
        </w:rPr>
      </w:pPr>
    </w:p>
    <w:p w:rsidR="002A4C15" w:rsidRDefault="002A4C15" w:rsidP="002A4C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agosto de 2010.</w:t>
      </w:r>
    </w:p>
    <w:p w:rsidR="002A4C15" w:rsidRDefault="002A4C15" w:rsidP="002A4C15">
      <w:pPr>
        <w:ind w:firstLine="1440"/>
        <w:rPr>
          <w:rFonts w:ascii="Bookman Old Style" w:hAnsi="Bookman Old Style"/>
        </w:rPr>
      </w:pPr>
    </w:p>
    <w:p w:rsidR="002A4C15" w:rsidRDefault="002A4C15" w:rsidP="002A4C15">
      <w:pPr>
        <w:rPr>
          <w:rFonts w:ascii="Bookman Old Style" w:hAnsi="Bookman Old Style"/>
        </w:rPr>
      </w:pPr>
    </w:p>
    <w:p w:rsidR="002A4C15" w:rsidRDefault="002A4C15" w:rsidP="002A4C15">
      <w:pPr>
        <w:ind w:firstLine="1440"/>
        <w:rPr>
          <w:rFonts w:ascii="Bookman Old Style" w:hAnsi="Bookman Old Style"/>
        </w:rPr>
      </w:pPr>
    </w:p>
    <w:p w:rsidR="002A4C15" w:rsidRDefault="002A4C15" w:rsidP="002A4C15">
      <w:pPr>
        <w:ind w:firstLine="1440"/>
        <w:rPr>
          <w:rFonts w:ascii="Bookman Old Style" w:hAnsi="Bookman Old Style"/>
        </w:rPr>
      </w:pPr>
    </w:p>
    <w:p w:rsidR="002A4C15" w:rsidRDefault="002A4C15" w:rsidP="002A4C15">
      <w:pPr>
        <w:ind w:firstLine="1440"/>
        <w:rPr>
          <w:rFonts w:ascii="Bookman Old Style" w:hAnsi="Bookman Old Style"/>
        </w:rPr>
      </w:pPr>
    </w:p>
    <w:p w:rsidR="002A4C15" w:rsidRDefault="002A4C15" w:rsidP="002A4C15">
      <w:pPr>
        <w:jc w:val="center"/>
        <w:outlineLvl w:val="0"/>
        <w:rPr>
          <w:rFonts w:ascii="Bookman Old Style" w:hAnsi="Bookman Old Style"/>
          <w:b/>
        </w:rPr>
      </w:pPr>
    </w:p>
    <w:p w:rsidR="002A4C15" w:rsidRDefault="002A4C15" w:rsidP="002A4C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A4C15" w:rsidRDefault="002A4C15" w:rsidP="002A4C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A4C15" w:rsidRDefault="002A4C15" w:rsidP="002A4C1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8B" w:rsidRDefault="00773E8B">
      <w:r>
        <w:separator/>
      </w:r>
    </w:p>
  </w:endnote>
  <w:endnote w:type="continuationSeparator" w:id="0">
    <w:p w:rsidR="00773E8B" w:rsidRDefault="0077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8B" w:rsidRDefault="00773E8B">
      <w:r>
        <w:separator/>
      </w:r>
    </w:p>
  </w:footnote>
  <w:footnote w:type="continuationSeparator" w:id="0">
    <w:p w:rsidR="00773E8B" w:rsidRDefault="0077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4C15"/>
    <w:rsid w:val="003D3AA8"/>
    <w:rsid w:val="004C6591"/>
    <w:rsid w:val="004C67DE"/>
    <w:rsid w:val="00773E8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A4C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A4C15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A4C1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4C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