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3F" w:rsidRDefault="00A50D3F" w:rsidP="003F672E">
      <w:pPr>
        <w:pStyle w:val="Ttulo"/>
      </w:pPr>
      <w:bookmarkStart w:id="0" w:name="_GoBack"/>
      <w:bookmarkEnd w:id="0"/>
      <w:r>
        <w:t>INDICAÇÃO Nº 2506/10</w:t>
      </w:r>
    </w:p>
    <w:p w:rsidR="00A50D3F" w:rsidRDefault="00A50D3F">
      <w:pPr>
        <w:jc w:val="center"/>
        <w:rPr>
          <w:rFonts w:ascii="Bookman Old Style" w:hAnsi="Bookman Old Style"/>
          <w:b/>
          <w:u w:val="single"/>
        </w:rPr>
      </w:pPr>
    </w:p>
    <w:p w:rsidR="00A50D3F" w:rsidRDefault="00A50D3F">
      <w:pPr>
        <w:jc w:val="center"/>
        <w:rPr>
          <w:rFonts w:ascii="Bookman Old Style" w:hAnsi="Bookman Old Style"/>
          <w:b/>
          <w:u w:val="single"/>
        </w:rPr>
      </w:pPr>
    </w:p>
    <w:p w:rsidR="00A50D3F" w:rsidRDefault="00A50D3F" w:rsidP="003F672E">
      <w:pPr>
        <w:pStyle w:val="Recuodecorpodetexto"/>
        <w:ind w:left="4440"/>
      </w:pPr>
      <w:r>
        <w:t>“Manutenção da sinalização de solo ‘PARE’, localizada na esquina da Rua do Trigo com Rua do Couro, no Bairro Jardim Pérola”.</w:t>
      </w:r>
    </w:p>
    <w:p w:rsidR="00A50D3F" w:rsidRDefault="00A50D3F">
      <w:pPr>
        <w:ind w:left="1440" w:firstLine="3600"/>
        <w:jc w:val="both"/>
        <w:rPr>
          <w:rFonts w:ascii="Bookman Old Style" w:hAnsi="Bookman Old Style"/>
        </w:rPr>
      </w:pPr>
    </w:p>
    <w:p w:rsidR="00A50D3F" w:rsidRDefault="00A50D3F">
      <w:pPr>
        <w:ind w:left="1440" w:firstLine="3600"/>
        <w:jc w:val="both"/>
        <w:rPr>
          <w:rFonts w:ascii="Bookman Old Style" w:hAnsi="Bookman Old Style"/>
        </w:rPr>
      </w:pPr>
    </w:p>
    <w:p w:rsidR="00A50D3F" w:rsidRDefault="00A50D3F">
      <w:pPr>
        <w:ind w:left="1440" w:firstLine="3600"/>
        <w:jc w:val="both"/>
        <w:rPr>
          <w:rFonts w:ascii="Bookman Old Style" w:hAnsi="Bookman Old Style"/>
        </w:rPr>
      </w:pPr>
    </w:p>
    <w:p w:rsidR="00A50D3F" w:rsidRDefault="00A50D3F">
      <w:pPr>
        <w:ind w:left="1440" w:firstLine="3600"/>
        <w:jc w:val="both"/>
        <w:rPr>
          <w:rFonts w:ascii="Bookman Old Style" w:hAnsi="Bookman Old Style"/>
        </w:rPr>
      </w:pPr>
    </w:p>
    <w:p w:rsidR="00A50D3F" w:rsidRPr="00DD0E2E" w:rsidRDefault="00A50D3F" w:rsidP="003F672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DD0E2E">
        <w:rPr>
          <w:rFonts w:ascii="Bookman Old Style" w:hAnsi="Bookman Old Style"/>
        </w:rPr>
        <w:t>determinar ao setor competente que proceda a manutenção da sinalização de solo ‘PARE’, localizada na esquina da Rua do Trigo com Rua do Couro, no Bairro Jardim Pérola.</w:t>
      </w:r>
    </w:p>
    <w:p w:rsidR="00A50D3F" w:rsidRPr="00AE76EB" w:rsidRDefault="00A50D3F" w:rsidP="003F672E">
      <w:pPr>
        <w:jc w:val="center"/>
        <w:rPr>
          <w:rFonts w:ascii="Bookman Old Style" w:hAnsi="Bookman Old Style"/>
          <w:b/>
        </w:rPr>
      </w:pPr>
    </w:p>
    <w:p w:rsidR="00A50D3F" w:rsidRDefault="00A50D3F" w:rsidP="003F672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50D3F" w:rsidRDefault="00A50D3F" w:rsidP="003F672E">
      <w:pPr>
        <w:jc w:val="center"/>
        <w:rPr>
          <w:rFonts w:ascii="Bookman Old Style" w:hAnsi="Bookman Old Style"/>
          <w:b/>
        </w:rPr>
      </w:pPr>
    </w:p>
    <w:p w:rsidR="00A50D3F" w:rsidRDefault="00A50D3F" w:rsidP="003F672E">
      <w:pPr>
        <w:jc w:val="center"/>
        <w:rPr>
          <w:rFonts w:ascii="Bookman Old Style" w:hAnsi="Bookman Old Style"/>
          <w:b/>
        </w:rPr>
      </w:pPr>
    </w:p>
    <w:p w:rsidR="00A50D3F" w:rsidRDefault="00A50D3F" w:rsidP="003F672E">
      <w:pPr>
        <w:jc w:val="center"/>
        <w:rPr>
          <w:rFonts w:ascii="Bookman Old Style" w:hAnsi="Bookman Old Style"/>
          <w:b/>
        </w:rPr>
      </w:pPr>
    </w:p>
    <w:p w:rsidR="00A50D3F" w:rsidRDefault="00A50D3F" w:rsidP="003F672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o PARE que esta na Rua do Couro não é respeitado, este vereador fez uma visita no local a pedido dos moradores e eles sugeriram que o pare da rua do couro fosse transferido para rua do trigo, assim minimizando os acidentes no local.</w:t>
      </w:r>
    </w:p>
    <w:p w:rsidR="00A50D3F" w:rsidRDefault="00A50D3F" w:rsidP="003F672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A50D3F" w:rsidRPr="001751EC" w:rsidRDefault="00A50D3F" w:rsidP="003F672E">
      <w:pPr>
        <w:ind w:firstLine="1440"/>
        <w:jc w:val="both"/>
        <w:rPr>
          <w:rFonts w:ascii="Bookman Old Style" w:hAnsi="Bookman Old Style"/>
        </w:rPr>
      </w:pPr>
    </w:p>
    <w:p w:rsidR="00A50D3F" w:rsidRDefault="00A50D3F" w:rsidP="003F672E">
      <w:pPr>
        <w:ind w:firstLine="1440"/>
        <w:jc w:val="both"/>
        <w:outlineLvl w:val="0"/>
        <w:rPr>
          <w:rFonts w:ascii="Bookman Old Style" w:hAnsi="Bookman Old Style"/>
        </w:rPr>
      </w:pPr>
    </w:p>
    <w:p w:rsidR="00A50D3F" w:rsidRDefault="00A50D3F" w:rsidP="003F672E">
      <w:pPr>
        <w:ind w:firstLine="1440"/>
        <w:outlineLvl w:val="0"/>
        <w:rPr>
          <w:rFonts w:ascii="Bookman Old Style" w:hAnsi="Bookman Old Style"/>
        </w:rPr>
      </w:pPr>
    </w:p>
    <w:p w:rsidR="00A50D3F" w:rsidRDefault="00A50D3F" w:rsidP="003F672E">
      <w:pPr>
        <w:ind w:firstLine="1440"/>
        <w:outlineLvl w:val="0"/>
        <w:rPr>
          <w:rFonts w:ascii="Bookman Old Style" w:hAnsi="Bookman Old Style"/>
        </w:rPr>
      </w:pPr>
    </w:p>
    <w:p w:rsidR="00A50D3F" w:rsidRDefault="00A50D3F" w:rsidP="003F672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setembro de 2010.</w:t>
      </w:r>
    </w:p>
    <w:p w:rsidR="00A50D3F" w:rsidRDefault="00A50D3F">
      <w:pPr>
        <w:ind w:firstLine="1440"/>
        <w:rPr>
          <w:rFonts w:ascii="Bookman Old Style" w:hAnsi="Bookman Old Style"/>
        </w:rPr>
      </w:pPr>
    </w:p>
    <w:p w:rsidR="00A50D3F" w:rsidRDefault="00A50D3F">
      <w:pPr>
        <w:rPr>
          <w:rFonts w:ascii="Bookman Old Style" w:hAnsi="Bookman Old Style"/>
        </w:rPr>
      </w:pPr>
    </w:p>
    <w:p w:rsidR="00A50D3F" w:rsidRPr="00A517E7" w:rsidRDefault="00A50D3F" w:rsidP="003F672E">
      <w:pPr>
        <w:ind w:firstLine="708"/>
        <w:jc w:val="center"/>
        <w:rPr>
          <w:rFonts w:ascii="Bookman Old Style" w:hAnsi="Bookman Old Style"/>
        </w:rPr>
      </w:pPr>
    </w:p>
    <w:p w:rsidR="00A50D3F" w:rsidRDefault="00A50D3F" w:rsidP="003F672E">
      <w:pPr>
        <w:jc w:val="center"/>
        <w:rPr>
          <w:rFonts w:ascii="Bookman Old Style" w:hAnsi="Bookman Old Style"/>
          <w:b/>
          <w:lang w:val="es-ES_tradnl"/>
        </w:rPr>
      </w:pPr>
    </w:p>
    <w:p w:rsidR="00A50D3F" w:rsidRPr="00251DC5" w:rsidRDefault="00A50D3F" w:rsidP="003F672E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 w:rsidRPr="00251DC5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A50D3F" w:rsidRPr="00251DC5" w:rsidRDefault="00A50D3F" w:rsidP="003F672E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A50D3F" w:rsidRDefault="00A50D3F" w:rsidP="003F672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Vereador Líder</w:t>
      </w:r>
    </w:p>
    <w:p w:rsidR="00A50D3F" w:rsidRDefault="00A50D3F" w:rsidP="003F672E">
      <w:r>
        <w:rPr>
          <w:rFonts w:ascii="Bookman Old Style" w:hAnsi="Bookman Old Style"/>
        </w:rPr>
        <w:t xml:space="preserve">  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A50D3F" w:rsidRDefault="00A50D3F">
      <w:pPr>
        <w:ind w:firstLine="1440"/>
        <w:rPr>
          <w:rFonts w:ascii="Bookman Old Style" w:hAnsi="Bookman Old Style"/>
        </w:rPr>
      </w:pPr>
    </w:p>
    <w:p w:rsidR="00A50D3F" w:rsidRDefault="00A50D3F" w:rsidP="003F672E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72E" w:rsidRDefault="003F672E">
      <w:r>
        <w:separator/>
      </w:r>
    </w:p>
  </w:endnote>
  <w:endnote w:type="continuationSeparator" w:id="0">
    <w:p w:rsidR="003F672E" w:rsidRDefault="003F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72E" w:rsidRDefault="003F672E">
      <w:r>
        <w:separator/>
      </w:r>
    </w:p>
  </w:footnote>
  <w:footnote w:type="continuationSeparator" w:id="0">
    <w:p w:rsidR="003F672E" w:rsidRDefault="003F6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2303"/>
    <w:rsid w:val="003D3AA8"/>
    <w:rsid w:val="003F672E"/>
    <w:rsid w:val="004C67DE"/>
    <w:rsid w:val="009F196D"/>
    <w:rsid w:val="00A50D3F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50D3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50D3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