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A4" w:rsidRDefault="002B5EA4" w:rsidP="002B5EA4">
      <w:pPr>
        <w:pStyle w:val="Ttulo"/>
      </w:pPr>
      <w:bookmarkStart w:id="0" w:name="_GoBack"/>
      <w:bookmarkEnd w:id="0"/>
    </w:p>
    <w:p w:rsidR="002B5EA4" w:rsidRDefault="002B5EA4" w:rsidP="002B5EA4">
      <w:pPr>
        <w:pStyle w:val="Ttulo"/>
      </w:pPr>
      <w:r>
        <w:t>INDICAÇÃO Nº 2854/2010</w:t>
      </w:r>
    </w:p>
    <w:p w:rsidR="002B5EA4" w:rsidRDefault="002B5EA4" w:rsidP="002B5EA4">
      <w:pPr>
        <w:jc w:val="center"/>
        <w:rPr>
          <w:rFonts w:ascii="Bookman Old Style" w:hAnsi="Bookman Old Style"/>
          <w:b/>
          <w:u w:val="single"/>
        </w:rPr>
      </w:pPr>
    </w:p>
    <w:p w:rsidR="002B5EA4" w:rsidRDefault="002B5EA4" w:rsidP="002B5EA4">
      <w:pPr>
        <w:jc w:val="center"/>
        <w:rPr>
          <w:rFonts w:ascii="Bookman Old Style" w:hAnsi="Bookman Old Style"/>
          <w:b/>
          <w:u w:val="single"/>
        </w:rPr>
      </w:pPr>
    </w:p>
    <w:p w:rsidR="002B5EA4" w:rsidRDefault="002B5EA4" w:rsidP="002B5EA4">
      <w:pPr>
        <w:pStyle w:val="Recuodecorpodetexto"/>
        <w:ind w:left="4440"/>
      </w:pPr>
      <w:r>
        <w:t xml:space="preserve">“Operação ‘tapa-buracos’, na rua Humberto de </w:t>
      </w:r>
      <w:proofErr w:type="spellStart"/>
      <w:r>
        <w:t>Lucca</w:t>
      </w:r>
      <w:proofErr w:type="spellEnd"/>
      <w:r>
        <w:t>, próximo a residência de nº 652, Jardim das orquídeas.”</w:t>
      </w:r>
    </w:p>
    <w:p w:rsidR="002B5EA4" w:rsidRDefault="002B5EA4" w:rsidP="002B5EA4">
      <w:pPr>
        <w:ind w:left="1440" w:firstLine="3600"/>
        <w:jc w:val="both"/>
        <w:rPr>
          <w:rFonts w:ascii="Bookman Old Style" w:hAnsi="Bookman Old Style"/>
        </w:rPr>
      </w:pPr>
    </w:p>
    <w:p w:rsidR="002B5EA4" w:rsidRDefault="002B5EA4" w:rsidP="002B5EA4">
      <w:pPr>
        <w:ind w:left="1440" w:firstLine="3600"/>
        <w:jc w:val="both"/>
        <w:rPr>
          <w:rFonts w:ascii="Bookman Old Style" w:hAnsi="Bookman Old Style"/>
        </w:rPr>
      </w:pPr>
    </w:p>
    <w:p w:rsidR="002B5EA4" w:rsidRDefault="002B5EA4" w:rsidP="002B5EA4">
      <w:pPr>
        <w:ind w:left="1440" w:firstLine="3600"/>
        <w:jc w:val="both"/>
        <w:rPr>
          <w:rFonts w:ascii="Bookman Old Style" w:hAnsi="Bookman Old Style"/>
        </w:rPr>
      </w:pPr>
    </w:p>
    <w:p w:rsidR="002B5EA4" w:rsidRDefault="002B5EA4" w:rsidP="002B5EA4">
      <w:pPr>
        <w:ind w:left="1440" w:firstLine="3600"/>
        <w:jc w:val="both"/>
        <w:rPr>
          <w:rFonts w:ascii="Bookman Old Style" w:hAnsi="Bookman Old Style"/>
        </w:rPr>
      </w:pPr>
    </w:p>
    <w:p w:rsidR="002B5EA4" w:rsidRPr="00177AD0" w:rsidRDefault="002B5EA4" w:rsidP="002B5EA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efetue operação “Tapa Buracos” no endereço supra. </w:t>
      </w:r>
    </w:p>
    <w:p w:rsidR="002B5EA4" w:rsidRPr="003977F2" w:rsidRDefault="002B5EA4" w:rsidP="002B5EA4">
      <w:pPr>
        <w:jc w:val="center"/>
        <w:rPr>
          <w:rFonts w:ascii="Bookman Old Style" w:hAnsi="Bookman Old Style"/>
          <w:b/>
        </w:rPr>
      </w:pPr>
    </w:p>
    <w:p w:rsidR="002B5EA4" w:rsidRDefault="002B5EA4" w:rsidP="002B5EA4">
      <w:pPr>
        <w:jc w:val="center"/>
        <w:rPr>
          <w:rFonts w:ascii="Bookman Old Style" w:hAnsi="Bookman Old Style"/>
          <w:b/>
        </w:rPr>
      </w:pPr>
    </w:p>
    <w:p w:rsidR="002B5EA4" w:rsidRDefault="002B5EA4" w:rsidP="002B5EA4">
      <w:pPr>
        <w:jc w:val="center"/>
        <w:rPr>
          <w:rFonts w:ascii="Bookman Old Style" w:hAnsi="Bookman Old Style"/>
          <w:b/>
        </w:rPr>
      </w:pPr>
    </w:p>
    <w:p w:rsidR="002B5EA4" w:rsidRDefault="002B5EA4" w:rsidP="002B5E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B5EA4" w:rsidRDefault="002B5EA4" w:rsidP="002B5EA4">
      <w:pPr>
        <w:jc w:val="center"/>
        <w:rPr>
          <w:rFonts w:ascii="Bookman Old Style" w:hAnsi="Bookman Old Style"/>
          <w:b/>
        </w:rPr>
      </w:pPr>
    </w:p>
    <w:p w:rsidR="002B5EA4" w:rsidRDefault="002B5EA4" w:rsidP="002B5EA4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B5EA4" w:rsidRDefault="002B5EA4" w:rsidP="002B5EA4">
      <w:pPr>
        <w:jc w:val="center"/>
        <w:rPr>
          <w:rFonts w:ascii="Bookman Old Style" w:hAnsi="Bookman Old Style"/>
          <w:b/>
        </w:rPr>
      </w:pPr>
    </w:p>
    <w:p w:rsidR="002B5EA4" w:rsidRDefault="002B5EA4" w:rsidP="002B5E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devido a situação da massa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Humberto de </w:t>
      </w:r>
      <w:proofErr w:type="spellStart"/>
      <w:r>
        <w:rPr>
          <w:rFonts w:ascii="Bookman Old Style" w:hAnsi="Bookman Old Style"/>
        </w:rPr>
        <w:t>Lucca</w:t>
      </w:r>
      <w:proofErr w:type="spellEnd"/>
      <w:r>
        <w:rPr>
          <w:rFonts w:ascii="Bookman Old Style" w:hAnsi="Bookman Old Style"/>
        </w:rPr>
        <w:t xml:space="preserve">, no Jardim das Orquídeas, veículos vem sendo danificados, causando prejuízos aos moradores. </w:t>
      </w:r>
    </w:p>
    <w:p w:rsidR="002B5EA4" w:rsidRDefault="002B5EA4" w:rsidP="002B5EA4">
      <w:pPr>
        <w:ind w:firstLine="1440"/>
        <w:jc w:val="both"/>
        <w:rPr>
          <w:rFonts w:ascii="Bookman Old Style" w:hAnsi="Bookman Old Style"/>
        </w:rPr>
      </w:pPr>
    </w:p>
    <w:p w:rsidR="002B5EA4" w:rsidRDefault="002B5EA4" w:rsidP="002B5EA4">
      <w:pPr>
        <w:ind w:firstLine="1440"/>
        <w:jc w:val="both"/>
        <w:outlineLvl w:val="0"/>
        <w:rPr>
          <w:rFonts w:ascii="Bookman Old Style" w:hAnsi="Bookman Old Style"/>
        </w:rPr>
      </w:pPr>
    </w:p>
    <w:p w:rsidR="002B5EA4" w:rsidRDefault="002B5EA4" w:rsidP="002B5EA4">
      <w:pPr>
        <w:ind w:firstLine="1440"/>
        <w:outlineLvl w:val="0"/>
        <w:rPr>
          <w:rFonts w:ascii="Bookman Old Style" w:hAnsi="Bookman Old Style"/>
        </w:rPr>
      </w:pPr>
    </w:p>
    <w:p w:rsidR="002B5EA4" w:rsidRDefault="002B5EA4" w:rsidP="002B5EA4">
      <w:pPr>
        <w:ind w:firstLine="1440"/>
        <w:outlineLvl w:val="0"/>
        <w:rPr>
          <w:rFonts w:ascii="Bookman Old Style" w:hAnsi="Bookman Old Style"/>
        </w:rPr>
      </w:pPr>
    </w:p>
    <w:p w:rsidR="002B5EA4" w:rsidRDefault="002B5EA4" w:rsidP="002B5E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novembro de 2010.</w:t>
      </w:r>
    </w:p>
    <w:p w:rsidR="002B5EA4" w:rsidRDefault="002B5EA4" w:rsidP="002B5EA4">
      <w:pPr>
        <w:ind w:firstLine="1440"/>
        <w:rPr>
          <w:rFonts w:ascii="Bookman Old Style" w:hAnsi="Bookman Old Style"/>
        </w:rPr>
      </w:pPr>
    </w:p>
    <w:p w:rsidR="002B5EA4" w:rsidRDefault="002B5EA4" w:rsidP="002B5EA4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B5EA4" w:rsidRDefault="002B5EA4" w:rsidP="002B5EA4">
      <w:pPr>
        <w:rPr>
          <w:rFonts w:ascii="Bookman Old Style" w:hAnsi="Bookman Old Style"/>
        </w:rPr>
      </w:pPr>
    </w:p>
    <w:p w:rsidR="002B5EA4" w:rsidRDefault="002B5EA4" w:rsidP="002B5EA4">
      <w:pPr>
        <w:jc w:val="center"/>
        <w:outlineLvl w:val="0"/>
        <w:rPr>
          <w:rFonts w:ascii="Bookman Old Style" w:hAnsi="Bookman Old Style"/>
          <w:b/>
        </w:rPr>
      </w:pPr>
    </w:p>
    <w:p w:rsidR="002B5EA4" w:rsidRDefault="002B5EA4" w:rsidP="002B5E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B5EA4" w:rsidRDefault="002B5EA4" w:rsidP="002B5E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B5EA4" w:rsidRDefault="002B5EA4" w:rsidP="002B5E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CD" w:rsidRDefault="003C34CD">
      <w:r>
        <w:separator/>
      </w:r>
    </w:p>
  </w:endnote>
  <w:endnote w:type="continuationSeparator" w:id="0">
    <w:p w:rsidR="003C34CD" w:rsidRDefault="003C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CD" w:rsidRDefault="003C34CD">
      <w:r>
        <w:separator/>
      </w:r>
    </w:p>
  </w:footnote>
  <w:footnote w:type="continuationSeparator" w:id="0">
    <w:p w:rsidR="003C34CD" w:rsidRDefault="003C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3B78"/>
    <w:rsid w:val="002B5EA4"/>
    <w:rsid w:val="003C34CD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5E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B5EA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B5EA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5E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