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2D" w:rsidRDefault="00A4662D" w:rsidP="00A4662D">
      <w:pPr>
        <w:pStyle w:val="Ttulo"/>
      </w:pPr>
      <w:bookmarkStart w:id="0" w:name="_GoBack"/>
      <w:bookmarkEnd w:id="0"/>
      <w:r>
        <w:t>INDICAÇÃO Nº 2906/2010</w:t>
      </w:r>
    </w:p>
    <w:p w:rsidR="00A4662D" w:rsidRDefault="00A4662D" w:rsidP="00A4662D">
      <w:pPr>
        <w:jc w:val="center"/>
        <w:rPr>
          <w:rFonts w:ascii="Bookman Old Style" w:hAnsi="Bookman Old Style"/>
          <w:b/>
          <w:u w:val="single"/>
        </w:rPr>
      </w:pPr>
    </w:p>
    <w:p w:rsidR="00A4662D" w:rsidRDefault="00A4662D" w:rsidP="00A4662D">
      <w:pPr>
        <w:jc w:val="center"/>
        <w:rPr>
          <w:rFonts w:ascii="Bookman Old Style" w:hAnsi="Bookman Old Style"/>
          <w:b/>
          <w:u w:val="single"/>
        </w:rPr>
      </w:pPr>
    </w:p>
    <w:p w:rsidR="00A4662D" w:rsidRDefault="00A4662D" w:rsidP="00A4662D">
      <w:pPr>
        <w:pStyle w:val="Recuodecorpodetexto"/>
        <w:ind w:left="4440"/>
      </w:pPr>
      <w:r>
        <w:t>“Operação ‘tapa-buracos’ na rua Itambé próximo ao numero 184, no Bairro Icaraí”</w:t>
      </w:r>
    </w:p>
    <w:p w:rsidR="00A4662D" w:rsidRDefault="00A4662D" w:rsidP="00A4662D">
      <w:pPr>
        <w:ind w:left="1440" w:firstLine="3600"/>
        <w:jc w:val="both"/>
        <w:rPr>
          <w:rFonts w:ascii="Bookman Old Style" w:hAnsi="Bookman Old Style"/>
        </w:rPr>
      </w:pPr>
    </w:p>
    <w:p w:rsidR="00A4662D" w:rsidRDefault="00A4662D" w:rsidP="00A4662D">
      <w:pPr>
        <w:ind w:left="1440" w:firstLine="3600"/>
        <w:jc w:val="both"/>
        <w:rPr>
          <w:rFonts w:ascii="Bookman Old Style" w:hAnsi="Bookman Old Style"/>
        </w:rPr>
      </w:pPr>
    </w:p>
    <w:p w:rsidR="00A4662D" w:rsidRDefault="00A4662D" w:rsidP="00A4662D">
      <w:pPr>
        <w:ind w:left="1440" w:firstLine="3600"/>
        <w:jc w:val="both"/>
        <w:rPr>
          <w:rFonts w:ascii="Bookman Old Style" w:hAnsi="Bookman Old Style"/>
        </w:rPr>
      </w:pPr>
    </w:p>
    <w:p w:rsidR="00A4662D" w:rsidRDefault="00A4662D" w:rsidP="00A4662D">
      <w:pPr>
        <w:ind w:left="1440" w:firstLine="3600"/>
        <w:jc w:val="both"/>
        <w:rPr>
          <w:rFonts w:ascii="Bookman Old Style" w:hAnsi="Bookman Old Style"/>
        </w:rPr>
      </w:pPr>
    </w:p>
    <w:p w:rsidR="00A4662D" w:rsidRPr="00177AD0" w:rsidRDefault="00A4662D" w:rsidP="00A4662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efetue a operação “tapa-buracos” na rua Itambé próximo ao numero 184, no Bairro Icaraí.</w:t>
      </w:r>
    </w:p>
    <w:p w:rsidR="00A4662D" w:rsidRPr="003977F2" w:rsidRDefault="00A4662D" w:rsidP="00A4662D">
      <w:pPr>
        <w:jc w:val="center"/>
        <w:rPr>
          <w:rFonts w:ascii="Bookman Old Style" w:hAnsi="Bookman Old Style"/>
          <w:b/>
        </w:rPr>
      </w:pPr>
    </w:p>
    <w:p w:rsidR="00A4662D" w:rsidRDefault="00A4662D" w:rsidP="00A4662D">
      <w:pPr>
        <w:jc w:val="center"/>
        <w:rPr>
          <w:rFonts w:ascii="Bookman Old Style" w:hAnsi="Bookman Old Style"/>
          <w:b/>
        </w:rPr>
      </w:pPr>
    </w:p>
    <w:p w:rsidR="00A4662D" w:rsidRDefault="00A4662D" w:rsidP="00A4662D">
      <w:pPr>
        <w:jc w:val="center"/>
        <w:rPr>
          <w:rFonts w:ascii="Bookman Old Style" w:hAnsi="Bookman Old Style"/>
          <w:b/>
        </w:rPr>
      </w:pPr>
    </w:p>
    <w:p w:rsidR="00A4662D" w:rsidRDefault="00A4662D" w:rsidP="00A4662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4662D" w:rsidRDefault="00A4662D" w:rsidP="00A4662D">
      <w:pPr>
        <w:jc w:val="center"/>
        <w:rPr>
          <w:rFonts w:ascii="Bookman Old Style" w:hAnsi="Bookman Old Style"/>
          <w:b/>
        </w:rPr>
      </w:pPr>
    </w:p>
    <w:p w:rsidR="00A4662D" w:rsidRDefault="00A4662D" w:rsidP="00A4662D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A4662D" w:rsidRDefault="00A4662D" w:rsidP="00A4662D">
      <w:pPr>
        <w:jc w:val="center"/>
        <w:rPr>
          <w:rFonts w:ascii="Bookman Old Style" w:hAnsi="Bookman Old Style"/>
          <w:b/>
        </w:rPr>
      </w:pPr>
    </w:p>
    <w:p w:rsidR="00A4662D" w:rsidRDefault="00A4662D" w:rsidP="00A4662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Devido às chuvas recentes formou-se um buraco na massa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>, buraco este, que compromete a segurança dos motoristas que passam pelo local, pois, se efetuarem desvio podem atingir outros veículos, se não desviar o perigo não diminui, visto que o pneu corre risco de estourar e a roda amassar ou acidentes graves podem vir a ocorrer no local.</w:t>
      </w:r>
    </w:p>
    <w:p w:rsidR="00A4662D" w:rsidRDefault="00A4662D" w:rsidP="00A4662D">
      <w:pPr>
        <w:ind w:firstLine="1440"/>
        <w:jc w:val="both"/>
        <w:rPr>
          <w:rFonts w:ascii="Bookman Old Style" w:hAnsi="Bookman Old Style"/>
        </w:rPr>
      </w:pPr>
    </w:p>
    <w:p w:rsidR="00A4662D" w:rsidRDefault="00A4662D" w:rsidP="00A4662D">
      <w:pPr>
        <w:ind w:firstLine="1440"/>
        <w:jc w:val="both"/>
        <w:outlineLvl w:val="0"/>
        <w:rPr>
          <w:rFonts w:ascii="Bookman Old Style" w:hAnsi="Bookman Old Style"/>
        </w:rPr>
      </w:pPr>
    </w:p>
    <w:p w:rsidR="00A4662D" w:rsidRDefault="00A4662D" w:rsidP="00A4662D">
      <w:pPr>
        <w:ind w:firstLine="1440"/>
        <w:outlineLvl w:val="0"/>
        <w:rPr>
          <w:rFonts w:ascii="Bookman Old Style" w:hAnsi="Bookman Old Style"/>
        </w:rPr>
      </w:pPr>
    </w:p>
    <w:p w:rsidR="00A4662D" w:rsidRDefault="00A4662D" w:rsidP="00A4662D">
      <w:pPr>
        <w:ind w:firstLine="1440"/>
        <w:outlineLvl w:val="0"/>
        <w:rPr>
          <w:rFonts w:ascii="Bookman Old Style" w:hAnsi="Bookman Old Style"/>
        </w:rPr>
      </w:pPr>
    </w:p>
    <w:p w:rsidR="00A4662D" w:rsidRDefault="00A4662D" w:rsidP="00A4662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novembro de 2010.</w:t>
      </w:r>
    </w:p>
    <w:p w:rsidR="00A4662D" w:rsidRDefault="00A4662D" w:rsidP="00A4662D">
      <w:pPr>
        <w:ind w:firstLine="1440"/>
        <w:rPr>
          <w:rFonts w:ascii="Bookman Old Style" w:hAnsi="Bookman Old Style"/>
        </w:rPr>
      </w:pPr>
    </w:p>
    <w:p w:rsidR="00A4662D" w:rsidRDefault="00A4662D" w:rsidP="00A4662D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A4662D" w:rsidRDefault="00A4662D" w:rsidP="00A4662D">
      <w:pPr>
        <w:rPr>
          <w:rFonts w:ascii="Bookman Old Style" w:hAnsi="Bookman Old Style"/>
        </w:rPr>
      </w:pPr>
    </w:p>
    <w:p w:rsidR="00A4662D" w:rsidRDefault="00A4662D" w:rsidP="00A4662D">
      <w:pPr>
        <w:rPr>
          <w:rFonts w:ascii="Bookman Old Style" w:hAnsi="Bookman Old Style"/>
        </w:rPr>
      </w:pPr>
    </w:p>
    <w:p w:rsidR="00A4662D" w:rsidRDefault="00A4662D" w:rsidP="00A4662D">
      <w:pPr>
        <w:jc w:val="center"/>
        <w:outlineLvl w:val="0"/>
        <w:rPr>
          <w:rFonts w:ascii="Bookman Old Style" w:hAnsi="Bookman Old Style"/>
          <w:b/>
        </w:rPr>
      </w:pPr>
    </w:p>
    <w:p w:rsidR="00A4662D" w:rsidRDefault="00A4662D" w:rsidP="00A466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4662D" w:rsidRDefault="00A4662D" w:rsidP="00A466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4662D" w:rsidRDefault="00A4662D" w:rsidP="00A4662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01" w:rsidRDefault="00C72201">
      <w:r>
        <w:separator/>
      </w:r>
    </w:p>
  </w:endnote>
  <w:endnote w:type="continuationSeparator" w:id="0">
    <w:p w:rsidR="00C72201" w:rsidRDefault="00C7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01" w:rsidRDefault="00C72201">
      <w:r>
        <w:separator/>
      </w:r>
    </w:p>
  </w:footnote>
  <w:footnote w:type="continuationSeparator" w:id="0">
    <w:p w:rsidR="00C72201" w:rsidRDefault="00C72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9F3358"/>
    <w:rsid w:val="00A4662D"/>
    <w:rsid w:val="00A9035B"/>
    <w:rsid w:val="00C7220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4662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4662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4662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4662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