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1C" w:rsidRDefault="001E631C" w:rsidP="001E631C">
      <w:pPr>
        <w:pStyle w:val="Ttulo"/>
      </w:pPr>
      <w:bookmarkStart w:id="0" w:name="_GoBack"/>
      <w:bookmarkEnd w:id="0"/>
      <w:r>
        <w:t>INDICAÇÃO Nº 25/2011</w:t>
      </w:r>
    </w:p>
    <w:p w:rsidR="001E631C" w:rsidRDefault="001E631C" w:rsidP="001E631C">
      <w:pPr>
        <w:jc w:val="center"/>
        <w:rPr>
          <w:rFonts w:ascii="Bookman Old Style" w:hAnsi="Bookman Old Style"/>
          <w:b/>
          <w:u w:val="single"/>
        </w:rPr>
      </w:pPr>
    </w:p>
    <w:p w:rsidR="001E631C" w:rsidRDefault="001E631C" w:rsidP="001E631C">
      <w:pPr>
        <w:jc w:val="center"/>
        <w:rPr>
          <w:rFonts w:ascii="Bookman Old Style" w:hAnsi="Bookman Old Style"/>
          <w:b/>
          <w:u w:val="single"/>
        </w:rPr>
      </w:pPr>
    </w:p>
    <w:p w:rsidR="001E631C" w:rsidRDefault="001E631C" w:rsidP="001E631C">
      <w:pPr>
        <w:pStyle w:val="Recuodecorpodetexto"/>
        <w:ind w:left="4440"/>
      </w:pPr>
      <w:r>
        <w:t>“Operação ‘tapa-buracos’ na Avenida Amadeu Tortelli, próximo à residência de número 111, no Conjunto Habitacional dos Trabalhadores”.</w:t>
      </w:r>
    </w:p>
    <w:p w:rsidR="001E631C" w:rsidRDefault="001E631C" w:rsidP="001E631C">
      <w:pPr>
        <w:ind w:left="1440" w:firstLine="3600"/>
        <w:jc w:val="both"/>
        <w:rPr>
          <w:rFonts w:ascii="Bookman Old Style" w:hAnsi="Bookman Old Style"/>
        </w:rPr>
      </w:pPr>
    </w:p>
    <w:p w:rsidR="001E631C" w:rsidRDefault="001E631C" w:rsidP="001E631C">
      <w:pPr>
        <w:ind w:left="1440" w:firstLine="3600"/>
        <w:jc w:val="both"/>
        <w:rPr>
          <w:rFonts w:ascii="Bookman Old Style" w:hAnsi="Bookman Old Style"/>
        </w:rPr>
      </w:pPr>
    </w:p>
    <w:p w:rsidR="001E631C" w:rsidRDefault="001E631C" w:rsidP="001E631C">
      <w:pPr>
        <w:ind w:left="1440" w:firstLine="3600"/>
        <w:jc w:val="both"/>
        <w:rPr>
          <w:rFonts w:ascii="Bookman Old Style" w:hAnsi="Bookman Old Style"/>
        </w:rPr>
      </w:pPr>
    </w:p>
    <w:p w:rsidR="001E631C" w:rsidRDefault="001E631C" w:rsidP="001E631C">
      <w:pPr>
        <w:ind w:left="1440" w:firstLine="3600"/>
        <w:jc w:val="both"/>
        <w:rPr>
          <w:rFonts w:ascii="Bookman Old Style" w:hAnsi="Bookman Old Style"/>
        </w:rPr>
      </w:pPr>
    </w:p>
    <w:p w:rsidR="001E631C" w:rsidRDefault="001E631C" w:rsidP="001E631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que efetue a Chamada “operação tapa buracos” na avenida supra.</w:t>
      </w:r>
    </w:p>
    <w:p w:rsidR="001E631C" w:rsidRDefault="001E631C" w:rsidP="001E631C">
      <w:pPr>
        <w:jc w:val="center"/>
        <w:rPr>
          <w:rFonts w:ascii="Bookman Old Style" w:hAnsi="Bookman Old Style"/>
          <w:b/>
        </w:rPr>
      </w:pPr>
    </w:p>
    <w:p w:rsidR="001E631C" w:rsidRDefault="001E631C" w:rsidP="001E631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E631C" w:rsidRDefault="001E631C" w:rsidP="001E631C">
      <w:pPr>
        <w:jc w:val="center"/>
        <w:rPr>
          <w:rFonts w:ascii="Bookman Old Style" w:hAnsi="Bookman Old Style"/>
          <w:b/>
        </w:rPr>
      </w:pPr>
    </w:p>
    <w:p w:rsidR="001E631C" w:rsidRDefault="001E631C" w:rsidP="001E631C">
      <w:pPr>
        <w:jc w:val="center"/>
        <w:rPr>
          <w:rFonts w:ascii="Bookman Old Style" w:hAnsi="Bookman Old Style"/>
          <w:b/>
        </w:rPr>
      </w:pPr>
    </w:p>
    <w:p w:rsidR="001E631C" w:rsidRDefault="001E631C" w:rsidP="001E631C">
      <w:pPr>
        <w:jc w:val="center"/>
        <w:rPr>
          <w:rFonts w:ascii="Bookman Old Style" w:hAnsi="Bookman Old Style"/>
          <w:b/>
        </w:rPr>
      </w:pPr>
    </w:p>
    <w:p w:rsidR="001E631C" w:rsidRDefault="001E631C" w:rsidP="001E631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reclamam dos buracos formados pelas chuvas na Avenida Amadeu Tortelli, próximo à rotatória, pedem providências, pois temem que o buraco venha a aumentar muito e provoque acidentes graves.</w:t>
      </w:r>
    </w:p>
    <w:p w:rsidR="001E631C" w:rsidRDefault="001E631C" w:rsidP="001E631C">
      <w:pPr>
        <w:ind w:firstLine="1440"/>
        <w:jc w:val="both"/>
        <w:rPr>
          <w:rFonts w:ascii="Bookman Old Style" w:hAnsi="Bookman Old Style"/>
        </w:rPr>
      </w:pPr>
    </w:p>
    <w:p w:rsidR="001E631C" w:rsidRDefault="001E631C" w:rsidP="001E631C">
      <w:pPr>
        <w:ind w:firstLine="1440"/>
        <w:jc w:val="both"/>
        <w:outlineLvl w:val="0"/>
        <w:rPr>
          <w:rFonts w:ascii="Bookman Old Style" w:hAnsi="Bookman Old Style"/>
        </w:rPr>
      </w:pPr>
    </w:p>
    <w:p w:rsidR="001E631C" w:rsidRDefault="001E631C" w:rsidP="001E631C">
      <w:pPr>
        <w:ind w:firstLine="1440"/>
        <w:outlineLvl w:val="0"/>
        <w:rPr>
          <w:rFonts w:ascii="Bookman Old Style" w:hAnsi="Bookman Old Style"/>
        </w:rPr>
      </w:pPr>
    </w:p>
    <w:p w:rsidR="001E631C" w:rsidRDefault="001E631C" w:rsidP="001E631C">
      <w:pPr>
        <w:ind w:firstLine="1440"/>
        <w:outlineLvl w:val="0"/>
        <w:rPr>
          <w:rFonts w:ascii="Bookman Old Style" w:hAnsi="Bookman Old Style"/>
        </w:rPr>
      </w:pPr>
    </w:p>
    <w:p w:rsidR="001E631C" w:rsidRDefault="001E631C" w:rsidP="001E631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janeiro de 2011.</w:t>
      </w:r>
    </w:p>
    <w:p w:rsidR="001E631C" w:rsidRDefault="001E631C" w:rsidP="001E631C">
      <w:pPr>
        <w:ind w:firstLine="1440"/>
        <w:rPr>
          <w:rFonts w:ascii="Bookman Old Style" w:hAnsi="Bookman Old Style"/>
        </w:rPr>
      </w:pPr>
    </w:p>
    <w:p w:rsidR="001E631C" w:rsidRDefault="001E631C" w:rsidP="001E631C">
      <w:pPr>
        <w:rPr>
          <w:rFonts w:ascii="Bookman Old Style" w:hAnsi="Bookman Old Style"/>
        </w:rPr>
      </w:pPr>
    </w:p>
    <w:p w:rsidR="001E631C" w:rsidRDefault="001E631C" w:rsidP="001E631C">
      <w:pPr>
        <w:ind w:firstLine="1440"/>
        <w:rPr>
          <w:rFonts w:ascii="Bookman Old Style" w:hAnsi="Bookman Old Style"/>
        </w:rPr>
      </w:pPr>
    </w:p>
    <w:p w:rsidR="001E631C" w:rsidRDefault="001E631C" w:rsidP="001E631C">
      <w:pPr>
        <w:ind w:firstLine="1440"/>
        <w:rPr>
          <w:rFonts w:ascii="Bookman Old Style" w:hAnsi="Bookman Old Style"/>
        </w:rPr>
      </w:pPr>
    </w:p>
    <w:p w:rsidR="001E631C" w:rsidRDefault="001E631C" w:rsidP="001E631C">
      <w:pPr>
        <w:ind w:firstLine="1440"/>
        <w:rPr>
          <w:rFonts w:ascii="Bookman Old Style" w:hAnsi="Bookman Old Style"/>
        </w:rPr>
      </w:pPr>
    </w:p>
    <w:p w:rsidR="001E631C" w:rsidRDefault="001E631C" w:rsidP="001E631C">
      <w:pPr>
        <w:jc w:val="center"/>
        <w:outlineLvl w:val="0"/>
        <w:rPr>
          <w:rFonts w:ascii="Bookman Old Style" w:hAnsi="Bookman Old Style"/>
          <w:b/>
        </w:rPr>
      </w:pPr>
    </w:p>
    <w:p w:rsidR="001E631C" w:rsidRDefault="001E631C" w:rsidP="001E631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1E631C" w:rsidRDefault="001E631C" w:rsidP="001E631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1E631C" w:rsidRDefault="001E631C" w:rsidP="001E631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E7C" w:rsidRDefault="00984E7C">
      <w:r>
        <w:separator/>
      </w:r>
    </w:p>
  </w:endnote>
  <w:endnote w:type="continuationSeparator" w:id="0">
    <w:p w:rsidR="00984E7C" w:rsidRDefault="0098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E7C" w:rsidRDefault="00984E7C">
      <w:r>
        <w:separator/>
      </w:r>
    </w:p>
  </w:footnote>
  <w:footnote w:type="continuationSeparator" w:id="0">
    <w:p w:rsidR="00984E7C" w:rsidRDefault="00984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631C"/>
    <w:rsid w:val="003D3AA8"/>
    <w:rsid w:val="004C67DE"/>
    <w:rsid w:val="00984E7C"/>
    <w:rsid w:val="009F196D"/>
    <w:rsid w:val="00A9035B"/>
    <w:rsid w:val="00B62B2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E631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E631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