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D9" w:rsidRDefault="00942ED9" w:rsidP="00942ED9">
      <w:pPr>
        <w:pStyle w:val="Ttulo"/>
      </w:pPr>
      <w:bookmarkStart w:id="0" w:name="_GoBack"/>
      <w:bookmarkEnd w:id="0"/>
      <w:r>
        <w:t>INDICAÇÃO Nº 27 /2011</w:t>
      </w:r>
    </w:p>
    <w:p w:rsidR="00942ED9" w:rsidRDefault="00942ED9" w:rsidP="00942ED9">
      <w:pPr>
        <w:jc w:val="center"/>
        <w:rPr>
          <w:rFonts w:ascii="Bookman Old Style" w:hAnsi="Bookman Old Style"/>
          <w:b/>
          <w:u w:val="single"/>
        </w:rPr>
      </w:pPr>
    </w:p>
    <w:p w:rsidR="00942ED9" w:rsidRDefault="00942ED9" w:rsidP="00942ED9">
      <w:pPr>
        <w:jc w:val="center"/>
        <w:rPr>
          <w:rFonts w:ascii="Bookman Old Style" w:hAnsi="Bookman Old Style"/>
          <w:b/>
          <w:u w:val="single"/>
        </w:rPr>
      </w:pPr>
    </w:p>
    <w:p w:rsidR="00942ED9" w:rsidRDefault="00942ED9" w:rsidP="00942ED9">
      <w:pPr>
        <w:pStyle w:val="Recuodecorpodetexto"/>
        <w:ind w:left="4440"/>
      </w:pPr>
      <w:r>
        <w:t>“Operação ‘tapa-buracos’ na rua Ângelo Giovani Breda, próximo à residência e número 151 , no Conjunto Habitacional dos Trabalhadores”.</w:t>
      </w:r>
    </w:p>
    <w:p w:rsidR="00942ED9" w:rsidRDefault="00942ED9" w:rsidP="00942ED9">
      <w:pPr>
        <w:ind w:left="1440" w:firstLine="3600"/>
        <w:jc w:val="both"/>
        <w:rPr>
          <w:rFonts w:ascii="Bookman Old Style" w:hAnsi="Bookman Old Style"/>
        </w:rPr>
      </w:pPr>
    </w:p>
    <w:p w:rsidR="00942ED9" w:rsidRDefault="00942ED9" w:rsidP="00942ED9">
      <w:pPr>
        <w:ind w:left="1440" w:firstLine="3600"/>
        <w:jc w:val="both"/>
        <w:rPr>
          <w:rFonts w:ascii="Bookman Old Style" w:hAnsi="Bookman Old Style"/>
        </w:rPr>
      </w:pPr>
    </w:p>
    <w:p w:rsidR="00942ED9" w:rsidRDefault="00942ED9" w:rsidP="00942ED9">
      <w:pPr>
        <w:ind w:left="1440" w:firstLine="3600"/>
        <w:jc w:val="both"/>
        <w:rPr>
          <w:rFonts w:ascii="Bookman Old Style" w:hAnsi="Bookman Old Style"/>
        </w:rPr>
      </w:pPr>
    </w:p>
    <w:p w:rsidR="00942ED9" w:rsidRDefault="00942ED9" w:rsidP="00942ED9">
      <w:pPr>
        <w:ind w:left="1440" w:firstLine="3600"/>
        <w:jc w:val="both"/>
        <w:rPr>
          <w:rFonts w:ascii="Bookman Old Style" w:hAnsi="Bookman Old Style"/>
        </w:rPr>
      </w:pPr>
    </w:p>
    <w:p w:rsidR="00942ED9" w:rsidRDefault="00942ED9" w:rsidP="00942E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“operação tapa buracos” na rua supra.</w:t>
      </w:r>
    </w:p>
    <w:p w:rsidR="00942ED9" w:rsidRDefault="00942ED9" w:rsidP="00942ED9">
      <w:pPr>
        <w:jc w:val="center"/>
        <w:rPr>
          <w:rFonts w:ascii="Bookman Old Style" w:hAnsi="Bookman Old Style"/>
          <w:b/>
        </w:rPr>
      </w:pPr>
    </w:p>
    <w:p w:rsidR="00942ED9" w:rsidRDefault="00942ED9" w:rsidP="00942E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2ED9" w:rsidRDefault="00942ED9" w:rsidP="00942ED9">
      <w:pPr>
        <w:jc w:val="center"/>
        <w:rPr>
          <w:rFonts w:ascii="Bookman Old Style" w:hAnsi="Bookman Old Style"/>
          <w:b/>
        </w:rPr>
      </w:pPr>
    </w:p>
    <w:p w:rsidR="00942ED9" w:rsidRDefault="00942ED9" w:rsidP="00942ED9">
      <w:pPr>
        <w:jc w:val="center"/>
        <w:rPr>
          <w:rFonts w:ascii="Bookman Old Style" w:hAnsi="Bookman Old Style"/>
          <w:b/>
        </w:rPr>
      </w:pPr>
    </w:p>
    <w:p w:rsidR="00942ED9" w:rsidRDefault="00942ED9" w:rsidP="00942ED9">
      <w:pPr>
        <w:jc w:val="center"/>
        <w:rPr>
          <w:rFonts w:ascii="Bookman Old Style" w:hAnsi="Bookman Old Style"/>
          <w:b/>
        </w:rPr>
      </w:pPr>
    </w:p>
    <w:p w:rsidR="00942ED9" w:rsidRDefault="00942ED9" w:rsidP="00942E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Conjunto dos Trabalhadores reclamam dos buracos ocasionados pelas chuvas,  pedem providências, pois, temem que os buracos venham a aumentar muito e provoque acidentes principalmente envolvendo motociclistas.</w:t>
      </w:r>
    </w:p>
    <w:p w:rsidR="00942ED9" w:rsidRDefault="00942ED9" w:rsidP="00942ED9">
      <w:pPr>
        <w:ind w:firstLine="1440"/>
        <w:jc w:val="both"/>
        <w:rPr>
          <w:rFonts w:ascii="Bookman Old Style" w:hAnsi="Bookman Old Style"/>
        </w:rPr>
      </w:pPr>
    </w:p>
    <w:p w:rsidR="00942ED9" w:rsidRDefault="00942ED9" w:rsidP="00942ED9">
      <w:pPr>
        <w:ind w:firstLine="1440"/>
        <w:jc w:val="both"/>
        <w:outlineLvl w:val="0"/>
        <w:rPr>
          <w:rFonts w:ascii="Bookman Old Style" w:hAnsi="Bookman Old Style"/>
        </w:rPr>
      </w:pPr>
    </w:p>
    <w:p w:rsidR="00942ED9" w:rsidRDefault="00942ED9" w:rsidP="00942ED9">
      <w:pPr>
        <w:ind w:firstLine="1440"/>
        <w:outlineLvl w:val="0"/>
        <w:rPr>
          <w:rFonts w:ascii="Bookman Old Style" w:hAnsi="Bookman Old Style"/>
        </w:rPr>
      </w:pPr>
    </w:p>
    <w:p w:rsidR="00942ED9" w:rsidRDefault="00942ED9" w:rsidP="00942ED9">
      <w:pPr>
        <w:ind w:firstLine="1440"/>
        <w:outlineLvl w:val="0"/>
        <w:rPr>
          <w:rFonts w:ascii="Bookman Old Style" w:hAnsi="Bookman Old Style"/>
        </w:rPr>
      </w:pPr>
    </w:p>
    <w:p w:rsidR="00942ED9" w:rsidRDefault="00942ED9" w:rsidP="00942E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942ED9" w:rsidRDefault="00942ED9" w:rsidP="00942ED9">
      <w:pPr>
        <w:ind w:firstLine="1440"/>
        <w:rPr>
          <w:rFonts w:ascii="Bookman Old Style" w:hAnsi="Bookman Old Style"/>
        </w:rPr>
      </w:pPr>
    </w:p>
    <w:p w:rsidR="00942ED9" w:rsidRDefault="00942ED9" w:rsidP="00942ED9">
      <w:pPr>
        <w:rPr>
          <w:rFonts w:ascii="Bookman Old Style" w:hAnsi="Bookman Old Style"/>
        </w:rPr>
      </w:pPr>
    </w:p>
    <w:p w:rsidR="00942ED9" w:rsidRDefault="00942ED9" w:rsidP="00942ED9">
      <w:pPr>
        <w:ind w:firstLine="1440"/>
        <w:rPr>
          <w:rFonts w:ascii="Bookman Old Style" w:hAnsi="Bookman Old Style"/>
        </w:rPr>
      </w:pPr>
    </w:p>
    <w:p w:rsidR="00942ED9" w:rsidRDefault="00942ED9" w:rsidP="00942ED9">
      <w:pPr>
        <w:ind w:firstLine="1440"/>
        <w:rPr>
          <w:rFonts w:ascii="Bookman Old Style" w:hAnsi="Bookman Old Style"/>
        </w:rPr>
      </w:pPr>
    </w:p>
    <w:p w:rsidR="00942ED9" w:rsidRDefault="00942ED9" w:rsidP="00942ED9">
      <w:pPr>
        <w:ind w:firstLine="1440"/>
        <w:rPr>
          <w:rFonts w:ascii="Bookman Old Style" w:hAnsi="Bookman Old Style"/>
        </w:rPr>
      </w:pPr>
    </w:p>
    <w:p w:rsidR="00942ED9" w:rsidRDefault="00942ED9" w:rsidP="00942ED9">
      <w:pPr>
        <w:jc w:val="center"/>
        <w:outlineLvl w:val="0"/>
        <w:rPr>
          <w:rFonts w:ascii="Bookman Old Style" w:hAnsi="Bookman Old Style"/>
          <w:b/>
        </w:rPr>
      </w:pPr>
    </w:p>
    <w:p w:rsidR="00942ED9" w:rsidRDefault="00942ED9" w:rsidP="00942E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42ED9" w:rsidRDefault="00942ED9" w:rsidP="00942E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2ED9" w:rsidRDefault="00942ED9" w:rsidP="00942E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92" w:rsidRDefault="00374792">
      <w:r>
        <w:separator/>
      </w:r>
    </w:p>
  </w:endnote>
  <w:endnote w:type="continuationSeparator" w:id="0">
    <w:p w:rsidR="00374792" w:rsidRDefault="0037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92" w:rsidRDefault="00374792">
      <w:r>
        <w:separator/>
      </w:r>
    </w:p>
  </w:footnote>
  <w:footnote w:type="continuationSeparator" w:id="0">
    <w:p w:rsidR="00374792" w:rsidRDefault="0037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792"/>
    <w:rsid w:val="003D3AA8"/>
    <w:rsid w:val="004C67DE"/>
    <w:rsid w:val="00942ED9"/>
    <w:rsid w:val="009F196D"/>
    <w:rsid w:val="00A9035B"/>
    <w:rsid w:val="00B413E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2E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2ED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