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C2" w:rsidRDefault="007B57C2" w:rsidP="007B57C2">
      <w:pPr>
        <w:pStyle w:val="Ttulo"/>
      </w:pPr>
      <w:bookmarkStart w:id="0" w:name="_GoBack"/>
      <w:bookmarkEnd w:id="0"/>
    </w:p>
    <w:p w:rsidR="007B57C2" w:rsidRDefault="007B57C2" w:rsidP="007B57C2">
      <w:pPr>
        <w:pStyle w:val="Ttulo"/>
      </w:pPr>
      <w:r>
        <w:t>INDICAÇÃO Nº  223 /11</w:t>
      </w:r>
    </w:p>
    <w:p w:rsidR="007B57C2" w:rsidRDefault="007B57C2" w:rsidP="007B57C2">
      <w:pPr>
        <w:jc w:val="center"/>
        <w:rPr>
          <w:rFonts w:ascii="Bookman Old Style" w:hAnsi="Bookman Old Style"/>
          <w:b/>
          <w:u w:val="single"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  <w:u w:val="single"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  <w:u w:val="single"/>
        </w:rPr>
      </w:pPr>
    </w:p>
    <w:p w:rsidR="007B57C2" w:rsidRDefault="007B57C2" w:rsidP="007B57C2">
      <w:pPr>
        <w:pStyle w:val="Recuodecorpodetexto"/>
        <w:ind w:left="4440"/>
      </w:pPr>
      <w:r>
        <w:t xml:space="preserve">“Pavimentação </w:t>
      </w:r>
      <w:r w:rsidRPr="00F6434F">
        <w:t>entre as Ruas Ermelindo Batista e Antonieta da Cruz,</w:t>
      </w:r>
      <w:r>
        <w:t xml:space="preserve"> ligando os dois lados das Ruas Ademar Semmler e João Gomes Moreira,</w:t>
      </w:r>
      <w:r w:rsidRPr="00F6434F">
        <w:t xml:space="preserve"> no Bairro Santa Rosa II</w:t>
      </w:r>
      <w:r>
        <w:t>”.</w:t>
      </w:r>
    </w:p>
    <w:p w:rsidR="007B57C2" w:rsidRDefault="007B57C2" w:rsidP="007B57C2">
      <w:pPr>
        <w:ind w:left="1440" w:firstLine="3600"/>
        <w:jc w:val="both"/>
        <w:rPr>
          <w:rFonts w:ascii="Bookman Old Style" w:hAnsi="Bookman Old Style"/>
        </w:rPr>
      </w:pPr>
    </w:p>
    <w:p w:rsidR="007B57C2" w:rsidRDefault="007B57C2" w:rsidP="007B57C2">
      <w:pPr>
        <w:ind w:left="1440" w:firstLine="3600"/>
        <w:jc w:val="both"/>
        <w:rPr>
          <w:rFonts w:ascii="Bookman Old Style" w:hAnsi="Bookman Old Style"/>
        </w:rPr>
      </w:pPr>
    </w:p>
    <w:p w:rsidR="007B57C2" w:rsidRDefault="007B57C2" w:rsidP="007B57C2">
      <w:pPr>
        <w:ind w:left="1440" w:firstLine="3600"/>
        <w:jc w:val="both"/>
        <w:rPr>
          <w:rFonts w:ascii="Bookman Old Style" w:hAnsi="Bookman Old Style"/>
        </w:rPr>
      </w:pPr>
    </w:p>
    <w:p w:rsidR="007B57C2" w:rsidRDefault="007B57C2" w:rsidP="007B57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</w:t>
      </w:r>
      <w:r w:rsidRPr="00076FF5">
        <w:rPr>
          <w:rFonts w:ascii="Bookman Old Style" w:hAnsi="Bookman Old Style"/>
        </w:rPr>
        <w:t>o Municipal, na forma regimental, determinar ao setor competente que tome providências quanto à realizar a pavimentação entre as Ruas Ermelindo Batista e Antonieta da Cruz, ligando os dois lados das Ruas Ademar Semmler e João Gomes Moreira, no Bairro Santa Rosa II.</w:t>
      </w: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B57C2" w:rsidRDefault="007B57C2" w:rsidP="007B57C2">
      <w:pPr>
        <w:jc w:val="center"/>
        <w:rPr>
          <w:rFonts w:ascii="Bookman Old Style" w:hAnsi="Bookman Old Style"/>
          <w:b/>
        </w:rPr>
      </w:pPr>
    </w:p>
    <w:p w:rsidR="007B57C2" w:rsidRPr="00C4775E" w:rsidRDefault="007B57C2" w:rsidP="007B57C2">
      <w:pPr>
        <w:pStyle w:val="Recuodecorpodetexto2"/>
        <w:ind w:firstLine="1416"/>
        <w:rPr>
          <w:b/>
        </w:rPr>
      </w:pPr>
      <w:r>
        <w:t>Esta área acima mencionada não possui asfalto. É necessário que se faça a pavimentação para o melhor tráfego dos veículos pelo local.</w:t>
      </w:r>
    </w:p>
    <w:p w:rsidR="007B57C2" w:rsidRDefault="007B57C2" w:rsidP="007B57C2">
      <w:pPr>
        <w:ind w:firstLine="1440"/>
        <w:jc w:val="both"/>
        <w:rPr>
          <w:rFonts w:ascii="Bookman Old Style" w:hAnsi="Bookman Old Style"/>
        </w:rPr>
      </w:pPr>
    </w:p>
    <w:p w:rsidR="007B57C2" w:rsidRDefault="007B57C2" w:rsidP="007B57C2">
      <w:pPr>
        <w:ind w:firstLine="1440"/>
        <w:jc w:val="both"/>
        <w:rPr>
          <w:rFonts w:ascii="Bookman Old Style" w:hAnsi="Bookman Old Style"/>
        </w:rPr>
      </w:pPr>
    </w:p>
    <w:p w:rsidR="007B57C2" w:rsidRDefault="007B57C2" w:rsidP="007B57C2">
      <w:pPr>
        <w:ind w:firstLine="1440"/>
        <w:jc w:val="both"/>
        <w:rPr>
          <w:rFonts w:ascii="Bookman Old Style" w:hAnsi="Bookman Old Style"/>
        </w:rPr>
      </w:pPr>
    </w:p>
    <w:p w:rsidR="007B57C2" w:rsidRDefault="007B57C2" w:rsidP="007B57C2">
      <w:pPr>
        <w:ind w:firstLine="1440"/>
        <w:outlineLvl w:val="0"/>
        <w:rPr>
          <w:rFonts w:ascii="Bookman Old Style" w:hAnsi="Bookman Old Style"/>
        </w:rPr>
      </w:pPr>
    </w:p>
    <w:p w:rsidR="007B57C2" w:rsidRDefault="007B57C2" w:rsidP="007B57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7B57C2" w:rsidRDefault="007B57C2" w:rsidP="007B57C2">
      <w:pPr>
        <w:ind w:firstLine="1440"/>
        <w:rPr>
          <w:rFonts w:ascii="Bookman Old Style" w:hAnsi="Bookman Old Style"/>
        </w:rPr>
      </w:pPr>
    </w:p>
    <w:p w:rsidR="007B57C2" w:rsidRDefault="007B57C2" w:rsidP="007B57C2">
      <w:pPr>
        <w:rPr>
          <w:rFonts w:ascii="Bookman Old Style" w:hAnsi="Bookman Old Style"/>
        </w:rPr>
      </w:pPr>
    </w:p>
    <w:p w:rsidR="007B57C2" w:rsidRDefault="007B57C2" w:rsidP="007B57C2">
      <w:pPr>
        <w:ind w:firstLine="1440"/>
        <w:rPr>
          <w:rFonts w:ascii="Bookman Old Style" w:hAnsi="Bookman Old Style"/>
        </w:rPr>
      </w:pPr>
    </w:p>
    <w:p w:rsidR="007B57C2" w:rsidRDefault="007B57C2" w:rsidP="007B57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</w:p>
    <w:p w:rsidR="007B57C2" w:rsidRDefault="007B57C2" w:rsidP="007B57C2">
      <w:pPr>
        <w:ind w:firstLine="120"/>
        <w:jc w:val="center"/>
        <w:outlineLvl w:val="0"/>
        <w:rPr>
          <w:rFonts w:ascii="Bookman Old Style" w:hAnsi="Bookman Old Style"/>
        </w:rPr>
      </w:pPr>
    </w:p>
    <w:p w:rsidR="007B57C2" w:rsidRPr="006D679B" w:rsidRDefault="007B57C2" w:rsidP="007B57C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EF" w:rsidRDefault="002833EF">
      <w:r>
        <w:separator/>
      </w:r>
    </w:p>
  </w:endnote>
  <w:endnote w:type="continuationSeparator" w:id="0">
    <w:p w:rsidR="002833EF" w:rsidRDefault="002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EF" w:rsidRDefault="002833EF">
      <w:r>
        <w:separator/>
      </w:r>
    </w:p>
  </w:footnote>
  <w:footnote w:type="continuationSeparator" w:id="0">
    <w:p w:rsidR="002833EF" w:rsidRDefault="00283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3EF"/>
    <w:rsid w:val="003D3AA8"/>
    <w:rsid w:val="004C67DE"/>
    <w:rsid w:val="00584142"/>
    <w:rsid w:val="007B57C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57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57C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B57C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