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0" w:rsidRDefault="002B7E20" w:rsidP="002B7E20">
      <w:pPr>
        <w:pStyle w:val="Ttulo"/>
      </w:pPr>
      <w:bookmarkStart w:id="0" w:name="_GoBack"/>
      <w:bookmarkEnd w:id="0"/>
      <w:r>
        <w:t>INDICAÇÃO Nº                                408/2011</w:t>
      </w:r>
    </w:p>
    <w:p w:rsidR="002B7E20" w:rsidRDefault="002B7E20" w:rsidP="002B7E20">
      <w:pPr>
        <w:jc w:val="center"/>
        <w:rPr>
          <w:rFonts w:ascii="Bookman Old Style" w:hAnsi="Bookman Old Style"/>
          <w:b/>
          <w:u w:val="single"/>
        </w:rPr>
      </w:pPr>
    </w:p>
    <w:p w:rsidR="002B7E20" w:rsidRDefault="002B7E20" w:rsidP="002B7E20">
      <w:pPr>
        <w:jc w:val="center"/>
        <w:rPr>
          <w:rFonts w:ascii="Bookman Old Style" w:hAnsi="Bookman Old Style"/>
          <w:b/>
          <w:u w:val="single"/>
        </w:rPr>
      </w:pPr>
    </w:p>
    <w:p w:rsidR="002B7E20" w:rsidRDefault="002B7E20" w:rsidP="002B7E20">
      <w:pPr>
        <w:pStyle w:val="Recuodecorpodetexto"/>
        <w:ind w:left="4440"/>
      </w:pPr>
      <w:r>
        <w:t>“Operação ‘tapa-buracos’ nas alças de acesso da SP 304, ao Bairro São Francisco e São Francisco II”.</w:t>
      </w:r>
    </w:p>
    <w:p w:rsidR="002B7E20" w:rsidRDefault="002B7E20" w:rsidP="002B7E20">
      <w:pPr>
        <w:ind w:left="1440" w:firstLine="3600"/>
        <w:jc w:val="both"/>
        <w:rPr>
          <w:rFonts w:ascii="Bookman Old Style" w:hAnsi="Bookman Old Style"/>
        </w:rPr>
      </w:pPr>
    </w:p>
    <w:p w:rsidR="002B7E20" w:rsidRDefault="002B7E20" w:rsidP="002B7E20">
      <w:pPr>
        <w:ind w:left="1440" w:firstLine="3600"/>
        <w:jc w:val="both"/>
        <w:rPr>
          <w:rFonts w:ascii="Bookman Old Style" w:hAnsi="Bookman Old Style"/>
        </w:rPr>
      </w:pPr>
    </w:p>
    <w:p w:rsidR="002B7E20" w:rsidRDefault="002B7E20" w:rsidP="002B7E20">
      <w:pPr>
        <w:ind w:left="1440" w:firstLine="3600"/>
        <w:jc w:val="both"/>
        <w:rPr>
          <w:rFonts w:ascii="Bookman Old Style" w:hAnsi="Bookman Old Style"/>
        </w:rPr>
      </w:pPr>
    </w:p>
    <w:p w:rsidR="002B7E20" w:rsidRDefault="002B7E20" w:rsidP="002B7E20">
      <w:pPr>
        <w:ind w:left="1440" w:firstLine="3600"/>
        <w:jc w:val="both"/>
        <w:rPr>
          <w:rFonts w:ascii="Bookman Old Style" w:hAnsi="Bookman Old Style"/>
        </w:rPr>
      </w:pPr>
    </w:p>
    <w:p w:rsidR="002B7E20" w:rsidRDefault="002B7E20" w:rsidP="002B7E2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operação ‘tapa-buracos’ nas alças de acesso que vem da Rodovia SP 304 ao Jardim São Francisco e São Francisco II.</w:t>
      </w:r>
    </w:p>
    <w:p w:rsidR="002B7E20" w:rsidRDefault="002B7E20" w:rsidP="002B7E20">
      <w:pPr>
        <w:jc w:val="center"/>
        <w:rPr>
          <w:rFonts w:ascii="Bookman Old Style" w:hAnsi="Bookman Old Style"/>
          <w:b/>
        </w:rPr>
      </w:pPr>
    </w:p>
    <w:p w:rsidR="002B7E20" w:rsidRDefault="002B7E20" w:rsidP="002B7E2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B7E20" w:rsidRDefault="002B7E20" w:rsidP="002B7E20">
      <w:pPr>
        <w:jc w:val="center"/>
        <w:rPr>
          <w:rFonts w:ascii="Bookman Old Style" w:hAnsi="Bookman Old Style"/>
          <w:b/>
        </w:rPr>
      </w:pPr>
    </w:p>
    <w:p w:rsidR="002B7E20" w:rsidRDefault="002B7E20" w:rsidP="002B7E20">
      <w:pPr>
        <w:jc w:val="center"/>
        <w:rPr>
          <w:rFonts w:ascii="Bookman Old Style" w:hAnsi="Bookman Old Style"/>
          <w:b/>
        </w:rPr>
      </w:pPr>
    </w:p>
    <w:p w:rsidR="002B7E20" w:rsidRDefault="002B7E20" w:rsidP="002B7E20">
      <w:pPr>
        <w:jc w:val="center"/>
        <w:rPr>
          <w:rFonts w:ascii="Bookman Old Style" w:hAnsi="Bookman Old Style"/>
          <w:b/>
        </w:rPr>
      </w:pPr>
    </w:p>
    <w:p w:rsidR="002B7E20" w:rsidRDefault="002B7E20" w:rsidP="002B7E2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de diversos pontos do município que, utilizam as referidas entradas da cidade reclamam dos inúmeros buracos existentes nas duas alças de acesso que, ligam a Rodovia SP 304 aos bairros São Francisco e São Francisco II, alguns reclamam ainda, de danos que sofreram nos veículos.</w:t>
      </w:r>
    </w:p>
    <w:p w:rsidR="002B7E20" w:rsidRDefault="002B7E20" w:rsidP="002B7E20">
      <w:pPr>
        <w:ind w:firstLine="1440"/>
        <w:jc w:val="both"/>
        <w:rPr>
          <w:rFonts w:ascii="Bookman Old Style" w:hAnsi="Bookman Old Style"/>
        </w:rPr>
      </w:pPr>
    </w:p>
    <w:p w:rsidR="002B7E20" w:rsidRDefault="002B7E20" w:rsidP="002B7E20">
      <w:pPr>
        <w:ind w:firstLine="1440"/>
        <w:jc w:val="both"/>
        <w:outlineLvl w:val="0"/>
        <w:rPr>
          <w:rFonts w:ascii="Bookman Old Style" w:hAnsi="Bookman Old Style"/>
        </w:rPr>
      </w:pPr>
    </w:p>
    <w:p w:rsidR="002B7E20" w:rsidRDefault="002B7E20" w:rsidP="002B7E20">
      <w:pPr>
        <w:ind w:firstLine="1440"/>
        <w:outlineLvl w:val="0"/>
        <w:rPr>
          <w:rFonts w:ascii="Bookman Old Style" w:hAnsi="Bookman Old Style"/>
        </w:rPr>
      </w:pPr>
    </w:p>
    <w:p w:rsidR="002B7E20" w:rsidRDefault="002B7E20" w:rsidP="002B7E20">
      <w:pPr>
        <w:ind w:firstLine="1440"/>
        <w:outlineLvl w:val="0"/>
        <w:rPr>
          <w:rFonts w:ascii="Bookman Old Style" w:hAnsi="Bookman Old Style"/>
        </w:rPr>
      </w:pPr>
    </w:p>
    <w:p w:rsidR="002B7E20" w:rsidRDefault="002B7E20" w:rsidP="002B7E2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2011.</w:t>
      </w:r>
    </w:p>
    <w:p w:rsidR="002B7E20" w:rsidRDefault="002B7E20" w:rsidP="002B7E20">
      <w:pPr>
        <w:ind w:firstLine="1440"/>
        <w:rPr>
          <w:rFonts w:ascii="Bookman Old Style" w:hAnsi="Bookman Old Style"/>
        </w:rPr>
      </w:pPr>
    </w:p>
    <w:p w:rsidR="002B7E20" w:rsidRDefault="002B7E20" w:rsidP="002B7E20">
      <w:pPr>
        <w:rPr>
          <w:rFonts w:ascii="Bookman Old Style" w:hAnsi="Bookman Old Style"/>
        </w:rPr>
      </w:pPr>
    </w:p>
    <w:p w:rsidR="002B7E20" w:rsidRDefault="002B7E20" w:rsidP="002B7E20">
      <w:pPr>
        <w:ind w:firstLine="1440"/>
        <w:rPr>
          <w:rFonts w:ascii="Bookman Old Style" w:hAnsi="Bookman Old Style"/>
        </w:rPr>
      </w:pPr>
    </w:p>
    <w:p w:rsidR="002B7E20" w:rsidRDefault="002B7E20" w:rsidP="002B7E20">
      <w:pPr>
        <w:ind w:firstLine="1440"/>
        <w:rPr>
          <w:rFonts w:ascii="Bookman Old Style" w:hAnsi="Bookman Old Style"/>
        </w:rPr>
      </w:pPr>
    </w:p>
    <w:p w:rsidR="002B7E20" w:rsidRDefault="002B7E20" w:rsidP="002B7E20">
      <w:pPr>
        <w:ind w:firstLine="1440"/>
        <w:rPr>
          <w:rFonts w:ascii="Bookman Old Style" w:hAnsi="Bookman Old Style"/>
        </w:rPr>
      </w:pPr>
    </w:p>
    <w:p w:rsidR="002B7E20" w:rsidRDefault="002B7E20" w:rsidP="002B7E20">
      <w:pPr>
        <w:jc w:val="center"/>
        <w:outlineLvl w:val="0"/>
        <w:rPr>
          <w:rFonts w:ascii="Bookman Old Style" w:hAnsi="Bookman Old Style"/>
          <w:b/>
        </w:rPr>
      </w:pPr>
    </w:p>
    <w:p w:rsidR="002B7E20" w:rsidRDefault="002B7E20" w:rsidP="002B7E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B7E20" w:rsidRDefault="002B7E20" w:rsidP="002B7E2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B7E20" w:rsidRDefault="002B7E20" w:rsidP="002B7E2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6F" w:rsidRDefault="009B576F">
      <w:r>
        <w:separator/>
      </w:r>
    </w:p>
  </w:endnote>
  <w:endnote w:type="continuationSeparator" w:id="0">
    <w:p w:rsidR="009B576F" w:rsidRDefault="009B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6F" w:rsidRDefault="009B576F">
      <w:r>
        <w:separator/>
      </w:r>
    </w:p>
  </w:footnote>
  <w:footnote w:type="continuationSeparator" w:id="0">
    <w:p w:rsidR="009B576F" w:rsidRDefault="009B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7E20"/>
    <w:rsid w:val="003D3AA8"/>
    <w:rsid w:val="004C67DE"/>
    <w:rsid w:val="00735404"/>
    <w:rsid w:val="009B576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7E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B7E2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