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6A" w:rsidRDefault="00E10F6A" w:rsidP="00E10F6A">
      <w:pPr>
        <w:pStyle w:val="Ttulo"/>
      </w:pPr>
      <w:bookmarkStart w:id="0" w:name="_GoBack"/>
      <w:bookmarkEnd w:id="0"/>
      <w:r>
        <w:t>INDICAÇÃO Nº                                514/2011</w:t>
      </w:r>
    </w:p>
    <w:p w:rsidR="00E10F6A" w:rsidRDefault="00E10F6A" w:rsidP="00E10F6A">
      <w:pPr>
        <w:jc w:val="center"/>
        <w:rPr>
          <w:rFonts w:ascii="Bookman Old Style" w:hAnsi="Bookman Old Style"/>
          <w:b/>
          <w:u w:val="single"/>
        </w:rPr>
      </w:pPr>
    </w:p>
    <w:p w:rsidR="00E10F6A" w:rsidRDefault="00E10F6A" w:rsidP="00E10F6A">
      <w:pPr>
        <w:jc w:val="center"/>
        <w:rPr>
          <w:rFonts w:ascii="Bookman Old Style" w:hAnsi="Bookman Old Style"/>
          <w:b/>
          <w:u w:val="single"/>
        </w:rPr>
      </w:pPr>
    </w:p>
    <w:p w:rsidR="00E10F6A" w:rsidRDefault="00E10F6A" w:rsidP="00E10F6A">
      <w:pPr>
        <w:pStyle w:val="Recuodecorpodetexto"/>
        <w:ind w:left="4440"/>
      </w:pPr>
      <w:r>
        <w:t>“Manutenção em área de lazer, localizada entre as Ruas Sebastião Benedito do Amaral, Cícero Jones e Alonso Keese, na Vila Lionopolis”.</w:t>
      </w:r>
    </w:p>
    <w:p w:rsidR="00E10F6A" w:rsidRDefault="00E10F6A" w:rsidP="00E10F6A">
      <w:pPr>
        <w:ind w:left="1440" w:firstLine="3600"/>
        <w:jc w:val="both"/>
        <w:rPr>
          <w:rFonts w:ascii="Bookman Old Style" w:hAnsi="Bookman Old Style"/>
        </w:rPr>
      </w:pPr>
    </w:p>
    <w:p w:rsidR="00E10F6A" w:rsidRDefault="00E10F6A" w:rsidP="00E10F6A">
      <w:pPr>
        <w:ind w:left="1440" w:firstLine="3600"/>
        <w:jc w:val="both"/>
        <w:rPr>
          <w:rFonts w:ascii="Bookman Old Style" w:hAnsi="Bookman Old Style"/>
        </w:rPr>
      </w:pPr>
    </w:p>
    <w:p w:rsidR="00E10F6A" w:rsidRDefault="00E10F6A" w:rsidP="00E10F6A">
      <w:pPr>
        <w:ind w:left="1440" w:firstLine="3600"/>
        <w:jc w:val="both"/>
        <w:rPr>
          <w:rFonts w:ascii="Bookman Old Style" w:hAnsi="Bookman Old Style"/>
        </w:rPr>
      </w:pPr>
    </w:p>
    <w:p w:rsidR="00E10F6A" w:rsidRDefault="00E10F6A" w:rsidP="00E10F6A">
      <w:pPr>
        <w:ind w:left="1440" w:firstLine="3600"/>
        <w:jc w:val="both"/>
        <w:rPr>
          <w:rFonts w:ascii="Bookman Old Style" w:hAnsi="Bookman Old Style"/>
        </w:rPr>
      </w:pPr>
    </w:p>
    <w:p w:rsidR="00E10F6A" w:rsidRDefault="00E10F6A" w:rsidP="00E10F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na área de lazer da Vila Linopolis.</w:t>
      </w:r>
    </w:p>
    <w:p w:rsidR="00E10F6A" w:rsidRDefault="00E10F6A" w:rsidP="00E10F6A">
      <w:pPr>
        <w:ind w:firstLine="1440"/>
        <w:jc w:val="both"/>
        <w:rPr>
          <w:rFonts w:ascii="Bookman Old Style" w:hAnsi="Bookman Old Style"/>
          <w:b/>
        </w:rPr>
      </w:pPr>
    </w:p>
    <w:p w:rsidR="00E10F6A" w:rsidRDefault="00E10F6A" w:rsidP="00E10F6A">
      <w:pPr>
        <w:jc w:val="center"/>
        <w:rPr>
          <w:rFonts w:ascii="Bookman Old Style" w:hAnsi="Bookman Old Style"/>
          <w:b/>
        </w:rPr>
      </w:pPr>
    </w:p>
    <w:p w:rsidR="00E10F6A" w:rsidRDefault="00E10F6A" w:rsidP="00E10F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0F6A" w:rsidRDefault="00E10F6A" w:rsidP="00E10F6A">
      <w:pPr>
        <w:jc w:val="center"/>
        <w:rPr>
          <w:rFonts w:ascii="Bookman Old Style" w:hAnsi="Bookman Old Style"/>
          <w:b/>
        </w:rPr>
      </w:pPr>
    </w:p>
    <w:p w:rsidR="00E10F6A" w:rsidRDefault="00E10F6A" w:rsidP="00E10F6A">
      <w:pPr>
        <w:jc w:val="center"/>
        <w:rPr>
          <w:rFonts w:ascii="Bookman Old Style" w:hAnsi="Bookman Old Style"/>
          <w:b/>
        </w:rPr>
      </w:pPr>
    </w:p>
    <w:p w:rsidR="00E10F6A" w:rsidRDefault="00E10F6A" w:rsidP="00E10F6A">
      <w:pPr>
        <w:jc w:val="center"/>
        <w:rPr>
          <w:rFonts w:ascii="Bookman Old Style" w:hAnsi="Bookman Old Style"/>
          <w:b/>
        </w:rPr>
      </w:pPr>
    </w:p>
    <w:p w:rsidR="00E10F6A" w:rsidRDefault="00E10F6A" w:rsidP="00E10F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da falta de iluminação na quadra do Linopolis, que devido a escuridão atrai usuários de entorpecentes. Alegam ainda que, pessoas de cidades vizinhas procuram o local devido a facilidade para utilizar alucinógenos.  </w:t>
      </w:r>
    </w:p>
    <w:p w:rsidR="00E10F6A" w:rsidRDefault="00E10F6A" w:rsidP="00E10F6A">
      <w:pPr>
        <w:ind w:firstLine="1440"/>
        <w:jc w:val="both"/>
        <w:rPr>
          <w:rFonts w:ascii="Bookman Old Style" w:hAnsi="Bookman Old Style"/>
        </w:rPr>
      </w:pPr>
    </w:p>
    <w:p w:rsidR="00E10F6A" w:rsidRDefault="00E10F6A" w:rsidP="00E10F6A">
      <w:pPr>
        <w:ind w:firstLine="1440"/>
        <w:jc w:val="both"/>
        <w:outlineLvl w:val="0"/>
        <w:rPr>
          <w:rFonts w:ascii="Bookman Old Style" w:hAnsi="Bookman Old Style"/>
        </w:rPr>
      </w:pPr>
    </w:p>
    <w:p w:rsidR="00E10F6A" w:rsidRDefault="00E10F6A" w:rsidP="00E10F6A">
      <w:pPr>
        <w:ind w:firstLine="1440"/>
        <w:outlineLvl w:val="0"/>
        <w:rPr>
          <w:rFonts w:ascii="Bookman Old Style" w:hAnsi="Bookman Old Style"/>
        </w:rPr>
      </w:pPr>
    </w:p>
    <w:p w:rsidR="00E10F6A" w:rsidRDefault="00E10F6A" w:rsidP="00E10F6A">
      <w:pPr>
        <w:ind w:firstLine="1440"/>
        <w:outlineLvl w:val="0"/>
        <w:rPr>
          <w:rFonts w:ascii="Bookman Old Style" w:hAnsi="Bookman Old Style"/>
        </w:rPr>
      </w:pPr>
    </w:p>
    <w:p w:rsidR="00E10F6A" w:rsidRDefault="00E10F6A" w:rsidP="00E10F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E10F6A" w:rsidRDefault="00E10F6A" w:rsidP="00E10F6A">
      <w:pPr>
        <w:ind w:firstLine="1440"/>
        <w:rPr>
          <w:rFonts w:ascii="Bookman Old Style" w:hAnsi="Bookman Old Style"/>
        </w:rPr>
      </w:pPr>
    </w:p>
    <w:p w:rsidR="00E10F6A" w:rsidRDefault="00E10F6A" w:rsidP="00E10F6A">
      <w:pPr>
        <w:rPr>
          <w:rFonts w:ascii="Bookman Old Style" w:hAnsi="Bookman Old Style"/>
        </w:rPr>
      </w:pPr>
    </w:p>
    <w:p w:rsidR="00E10F6A" w:rsidRDefault="00E10F6A" w:rsidP="00E10F6A">
      <w:pPr>
        <w:ind w:firstLine="1440"/>
        <w:rPr>
          <w:rFonts w:ascii="Bookman Old Style" w:hAnsi="Bookman Old Style"/>
        </w:rPr>
      </w:pPr>
    </w:p>
    <w:p w:rsidR="00E10F6A" w:rsidRDefault="00E10F6A" w:rsidP="00E10F6A">
      <w:pPr>
        <w:ind w:firstLine="1440"/>
        <w:rPr>
          <w:rFonts w:ascii="Bookman Old Style" w:hAnsi="Bookman Old Style"/>
        </w:rPr>
      </w:pPr>
    </w:p>
    <w:p w:rsidR="00E10F6A" w:rsidRDefault="00E10F6A" w:rsidP="00E10F6A">
      <w:pPr>
        <w:ind w:firstLine="1440"/>
        <w:rPr>
          <w:rFonts w:ascii="Bookman Old Style" w:hAnsi="Bookman Old Style"/>
        </w:rPr>
      </w:pPr>
    </w:p>
    <w:p w:rsidR="00E10F6A" w:rsidRDefault="00E10F6A" w:rsidP="00E10F6A">
      <w:pPr>
        <w:jc w:val="center"/>
        <w:outlineLvl w:val="0"/>
        <w:rPr>
          <w:rFonts w:ascii="Bookman Old Style" w:hAnsi="Bookman Old Style"/>
          <w:b/>
        </w:rPr>
      </w:pPr>
    </w:p>
    <w:p w:rsidR="00E10F6A" w:rsidRDefault="00E10F6A" w:rsidP="00E10F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0F6A" w:rsidRDefault="00E10F6A" w:rsidP="00E10F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10F6A" w:rsidRPr="0077772D" w:rsidRDefault="00E10F6A" w:rsidP="00E10F6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3A" w:rsidRDefault="00B8683A">
      <w:r>
        <w:separator/>
      </w:r>
    </w:p>
  </w:endnote>
  <w:endnote w:type="continuationSeparator" w:id="0">
    <w:p w:rsidR="00B8683A" w:rsidRDefault="00B8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3A" w:rsidRDefault="00B8683A">
      <w:r>
        <w:separator/>
      </w:r>
    </w:p>
  </w:footnote>
  <w:footnote w:type="continuationSeparator" w:id="0">
    <w:p w:rsidR="00B8683A" w:rsidRDefault="00B8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4E3E"/>
    <w:rsid w:val="009F196D"/>
    <w:rsid w:val="00A9035B"/>
    <w:rsid w:val="00B8683A"/>
    <w:rsid w:val="00CD613B"/>
    <w:rsid w:val="00E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0F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0F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