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4EF" w:rsidRDefault="00D934EF" w:rsidP="00D934EF">
      <w:pPr>
        <w:pStyle w:val="Ttulo"/>
        <w:spacing w:line="480" w:lineRule="auto"/>
      </w:pPr>
      <w:bookmarkStart w:id="0" w:name="_GoBack"/>
      <w:bookmarkEnd w:id="0"/>
    </w:p>
    <w:p w:rsidR="00D934EF" w:rsidRDefault="00D934EF" w:rsidP="00D934EF">
      <w:pPr>
        <w:pStyle w:val="Ttulo"/>
        <w:spacing w:line="480" w:lineRule="auto"/>
      </w:pPr>
    </w:p>
    <w:p w:rsidR="00D934EF" w:rsidRDefault="00D934EF" w:rsidP="00D934EF">
      <w:pPr>
        <w:pStyle w:val="Ttulo"/>
        <w:spacing w:line="480" w:lineRule="auto"/>
      </w:pPr>
    </w:p>
    <w:p w:rsidR="00D934EF" w:rsidRDefault="00D934EF" w:rsidP="00D934EF">
      <w:pPr>
        <w:pStyle w:val="Ttulo"/>
        <w:spacing w:line="480" w:lineRule="auto"/>
      </w:pPr>
    </w:p>
    <w:p w:rsidR="00D934EF" w:rsidRDefault="00D934EF" w:rsidP="00D934EF">
      <w:pPr>
        <w:pStyle w:val="Ttulo"/>
        <w:spacing w:line="480" w:lineRule="auto"/>
      </w:pPr>
    </w:p>
    <w:p w:rsidR="00D934EF" w:rsidRPr="00EC42C0" w:rsidRDefault="00D934EF" w:rsidP="00D934EF">
      <w:pPr>
        <w:pStyle w:val="Ttulo"/>
        <w:spacing w:line="480" w:lineRule="auto"/>
      </w:pPr>
      <w:r w:rsidRPr="00EC42C0">
        <w:t>INDICAÇÃO N°</w:t>
      </w:r>
      <w:r>
        <w:t xml:space="preserve"> 544 </w:t>
      </w:r>
      <w:r w:rsidRPr="00EC42C0">
        <w:t>/</w:t>
      </w:r>
      <w:r>
        <w:t>11</w:t>
      </w:r>
    </w:p>
    <w:p w:rsidR="00D934EF" w:rsidRPr="00EC42C0" w:rsidRDefault="00D934EF" w:rsidP="00D934EF">
      <w:pPr>
        <w:spacing w:line="480" w:lineRule="auto"/>
        <w:rPr>
          <w:rFonts w:ascii="Bookman Old Style" w:hAnsi="Bookman Old Style" w:cs="Arial"/>
          <w:color w:val="000000"/>
        </w:rPr>
      </w:pPr>
    </w:p>
    <w:p w:rsidR="00D934EF" w:rsidRPr="00EC42C0" w:rsidRDefault="00D934EF" w:rsidP="00D934E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Reforçar com pintura de solo e criar novos espaços para estacionamento, em toda a área do Velório Municipal Berto Lyra”. </w:t>
      </w:r>
    </w:p>
    <w:p w:rsidR="00D934EF" w:rsidRPr="00EC42C0" w:rsidRDefault="00D934EF" w:rsidP="00D934E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D934EF" w:rsidRDefault="00D934EF" w:rsidP="00D934E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proceda pintura de solo visando reforçar e criar novos espaços para estacionamento, em toda área nas proximidades do Velório Berto Lyra. </w:t>
      </w:r>
    </w:p>
    <w:p w:rsidR="00D934EF" w:rsidRPr="00EC42C0" w:rsidRDefault="00D934EF" w:rsidP="00D934EF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D934EF" w:rsidRPr="00EC42C0" w:rsidRDefault="00D934EF" w:rsidP="00D934EF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D934EF" w:rsidRPr="00EC42C0" w:rsidRDefault="00D934EF" w:rsidP="00D934EF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22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fevereiro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D934EF" w:rsidRPr="00EC42C0" w:rsidRDefault="00D934EF" w:rsidP="00D934EF">
      <w:pPr>
        <w:jc w:val="both"/>
        <w:rPr>
          <w:rFonts w:ascii="Bookman Old Style" w:hAnsi="Bookman Old Style"/>
        </w:rPr>
      </w:pPr>
    </w:p>
    <w:p w:rsidR="00D934EF" w:rsidRPr="00EC42C0" w:rsidRDefault="00D934EF" w:rsidP="00D934EF">
      <w:pPr>
        <w:jc w:val="both"/>
        <w:rPr>
          <w:rFonts w:ascii="Bookman Old Style" w:hAnsi="Bookman Old Style"/>
        </w:rPr>
      </w:pPr>
    </w:p>
    <w:p w:rsidR="00D934EF" w:rsidRDefault="00D934EF" w:rsidP="00D934EF">
      <w:pPr>
        <w:jc w:val="center"/>
        <w:rPr>
          <w:rFonts w:ascii="Bookman Old Style" w:hAnsi="Bookman Old Style"/>
        </w:rPr>
      </w:pPr>
    </w:p>
    <w:p w:rsidR="00D934EF" w:rsidRPr="00EC42C0" w:rsidRDefault="00D934EF" w:rsidP="00D934EF">
      <w:pPr>
        <w:jc w:val="center"/>
        <w:rPr>
          <w:rFonts w:ascii="Bookman Old Style" w:hAnsi="Bookman Old Style"/>
        </w:rPr>
      </w:pPr>
    </w:p>
    <w:p w:rsidR="00D934EF" w:rsidRPr="00EC42C0" w:rsidRDefault="00D934EF" w:rsidP="00D934EF">
      <w:pPr>
        <w:jc w:val="center"/>
        <w:rPr>
          <w:rFonts w:ascii="Bookman Old Style" w:hAnsi="Bookman Old Style"/>
        </w:rPr>
      </w:pPr>
    </w:p>
    <w:p w:rsidR="00D934EF" w:rsidRPr="00EA1516" w:rsidRDefault="00D934EF" w:rsidP="00D934EF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lastRenderedPageBreak/>
        <w:t>Juca Bortolucci</w:t>
      </w:r>
    </w:p>
    <w:p w:rsidR="00D934EF" w:rsidRPr="00EA1516" w:rsidRDefault="00D934EF" w:rsidP="00D934EF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D934EF" w:rsidRPr="00EA1516" w:rsidRDefault="00D934EF" w:rsidP="00D934EF">
      <w:pPr>
        <w:jc w:val="center"/>
        <w:rPr>
          <w:rFonts w:ascii="Arial Black" w:hAnsi="Arial Black"/>
        </w:rPr>
      </w:pPr>
    </w:p>
    <w:p w:rsidR="00D934EF" w:rsidRPr="00EC42C0" w:rsidRDefault="00D934EF" w:rsidP="00D934EF">
      <w:pPr>
        <w:pStyle w:val="Recuodecorpodetexto2"/>
        <w:jc w:val="center"/>
        <w:rPr>
          <w:rFonts w:ascii="Bookman Old Style" w:hAnsi="Bookman Old Style"/>
        </w:rPr>
      </w:pPr>
    </w:p>
    <w:p w:rsidR="00D934EF" w:rsidRPr="00EC42C0" w:rsidRDefault="00D934EF" w:rsidP="00D934EF">
      <w:pPr>
        <w:pStyle w:val="Recuodecorpodetexto2"/>
        <w:rPr>
          <w:rFonts w:ascii="Bookman Old Style" w:hAnsi="Bookman Old Style"/>
        </w:rPr>
      </w:pPr>
    </w:p>
    <w:p w:rsidR="00D934EF" w:rsidRDefault="00D934EF" w:rsidP="00D934EF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D71" w:rsidRDefault="00FC4D71">
      <w:r>
        <w:separator/>
      </w:r>
    </w:p>
  </w:endnote>
  <w:endnote w:type="continuationSeparator" w:id="0">
    <w:p w:rsidR="00FC4D71" w:rsidRDefault="00FC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D71" w:rsidRDefault="00FC4D71">
      <w:r>
        <w:separator/>
      </w:r>
    </w:p>
  </w:footnote>
  <w:footnote w:type="continuationSeparator" w:id="0">
    <w:p w:rsidR="00FC4D71" w:rsidRDefault="00FC4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0533"/>
    <w:rsid w:val="009F196D"/>
    <w:rsid w:val="00A9035B"/>
    <w:rsid w:val="00CD613B"/>
    <w:rsid w:val="00D934EF"/>
    <w:rsid w:val="00FC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934E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934EF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D934E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D934EF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