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89" w:rsidRDefault="00164B89" w:rsidP="00164B89">
      <w:pPr>
        <w:pStyle w:val="Ttulo"/>
      </w:pPr>
      <w:bookmarkStart w:id="0" w:name="_GoBack"/>
      <w:bookmarkEnd w:id="0"/>
      <w:r>
        <w:t>INDICAÇÃO Nº 592 /2011</w:t>
      </w:r>
    </w:p>
    <w:p w:rsidR="00164B89" w:rsidRDefault="00164B89" w:rsidP="00164B89">
      <w:pPr>
        <w:jc w:val="center"/>
        <w:rPr>
          <w:rFonts w:ascii="Bookman Old Style" w:hAnsi="Bookman Old Style"/>
          <w:b/>
          <w:u w:val="single"/>
        </w:rPr>
      </w:pPr>
    </w:p>
    <w:p w:rsidR="00164B89" w:rsidRDefault="00164B89" w:rsidP="00164B89">
      <w:pPr>
        <w:jc w:val="center"/>
        <w:rPr>
          <w:rFonts w:ascii="Bookman Old Style" w:hAnsi="Bookman Old Style"/>
          <w:b/>
          <w:u w:val="single"/>
        </w:rPr>
      </w:pPr>
    </w:p>
    <w:p w:rsidR="00164B89" w:rsidRDefault="00164B89" w:rsidP="00164B89">
      <w:pPr>
        <w:pStyle w:val="Recuodecorpodetexto"/>
        <w:ind w:left="4440"/>
      </w:pPr>
      <w:r>
        <w:t>“Operação ‘tapa-buracos’, na Rua Ângelo Sans, trecho correspondente à residência de nº 286, Parque Zabani”.</w:t>
      </w:r>
    </w:p>
    <w:p w:rsidR="00164B89" w:rsidRDefault="00164B89" w:rsidP="00164B89">
      <w:pPr>
        <w:ind w:left="1440" w:firstLine="3600"/>
        <w:jc w:val="both"/>
        <w:rPr>
          <w:rFonts w:ascii="Bookman Old Style" w:hAnsi="Bookman Old Style"/>
        </w:rPr>
      </w:pPr>
    </w:p>
    <w:p w:rsidR="00164B89" w:rsidRDefault="00164B89" w:rsidP="00164B89">
      <w:pPr>
        <w:ind w:left="1440" w:firstLine="3600"/>
        <w:jc w:val="both"/>
        <w:rPr>
          <w:rFonts w:ascii="Bookman Old Style" w:hAnsi="Bookman Old Style"/>
        </w:rPr>
      </w:pPr>
    </w:p>
    <w:p w:rsidR="00164B89" w:rsidRDefault="00164B89" w:rsidP="00164B89">
      <w:pPr>
        <w:ind w:left="1440" w:firstLine="3600"/>
        <w:jc w:val="both"/>
        <w:rPr>
          <w:rFonts w:ascii="Bookman Old Style" w:hAnsi="Bookman Old Style"/>
        </w:rPr>
      </w:pPr>
    </w:p>
    <w:p w:rsidR="00164B89" w:rsidRDefault="00164B89" w:rsidP="00164B89">
      <w:pPr>
        <w:ind w:left="1440" w:firstLine="3600"/>
        <w:jc w:val="both"/>
        <w:rPr>
          <w:rFonts w:ascii="Bookman Old Style" w:hAnsi="Bookman Old Style"/>
        </w:rPr>
      </w:pPr>
    </w:p>
    <w:p w:rsidR="00164B89" w:rsidRDefault="00164B89" w:rsidP="00164B8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“operação tapa-buracos” no trecho em epigrafe.</w:t>
      </w:r>
    </w:p>
    <w:p w:rsidR="00164B89" w:rsidRDefault="00164B89" w:rsidP="00164B89">
      <w:pPr>
        <w:ind w:firstLine="1440"/>
        <w:jc w:val="both"/>
        <w:rPr>
          <w:rFonts w:ascii="Bookman Old Style" w:hAnsi="Bookman Old Style"/>
          <w:b/>
        </w:rPr>
      </w:pPr>
    </w:p>
    <w:p w:rsidR="00164B89" w:rsidRDefault="00164B89" w:rsidP="00164B89">
      <w:pPr>
        <w:jc w:val="center"/>
        <w:rPr>
          <w:rFonts w:ascii="Bookman Old Style" w:hAnsi="Bookman Old Style"/>
          <w:b/>
        </w:rPr>
      </w:pPr>
    </w:p>
    <w:p w:rsidR="00164B89" w:rsidRDefault="00164B89" w:rsidP="00164B8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64B89" w:rsidRDefault="00164B89" w:rsidP="00164B89">
      <w:pPr>
        <w:jc w:val="center"/>
        <w:rPr>
          <w:rFonts w:ascii="Bookman Old Style" w:hAnsi="Bookman Old Style"/>
          <w:b/>
        </w:rPr>
      </w:pPr>
    </w:p>
    <w:p w:rsidR="00164B89" w:rsidRDefault="00164B89" w:rsidP="00164B89">
      <w:pPr>
        <w:jc w:val="center"/>
        <w:rPr>
          <w:rFonts w:ascii="Bookman Old Style" w:hAnsi="Bookman Old Style"/>
          <w:b/>
        </w:rPr>
      </w:pPr>
    </w:p>
    <w:p w:rsidR="00164B89" w:rsidRDefault="00164B89" w:rsidP="00164B89">
      <w:pPr>
        <w:jc w:val="center"/>
        <w:rPr>
          <w:rFonts w:ascii="Bookman Old Style" w:hAnsi="Bookman Old Style"/>
          <w:b/>
        </w:rPr>
      </w:pPr>
    </w:p>
    <w:p w:rsidR="00164B89" w:rsidRDefault="00164B89" w:rsidP="00164B8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Devido a grande quantidade de buracos no trecho correspondente à residência de número 286, veículos já sofreram danos. Moradores pedem providências.</w:t>
      </w:r>
    </w:p>
    <w:p w:rsidR="00164B89" w:rsidRDefault="00164B89" w:rsidP="00164B89">
      <w:pPr>
        <w:ind w:firstLine="1440"/>
        <w:jc w:val="both"/>
        <w:rPr>
          <w:rFonts w:ascii="Bookman Old Style" w:hAnsi="Bookman Old Style"/>
        </w:rPr>
      </w:pPr>
    </w:p>
    <w:p w:rsidR="00164B89" w:rsidRDefault="00164B89" w:rsidP="00164B89">
      <w:pPr>
        <w:ind w:firstLine="1440"/>
        <w:jc w:val="both"/>
        <w:outlineLvl w:val="0"/>
        <w:rPr>
          <w:rFonts w:ascii="Bookman Old Style" w:hAnsi="Bookman Old Style"/>
        </w:rPr>
      </w:pPr>
    </w:p>
    <w:p w:rsidR="00164B89" w:rsidRDefault="00164B89" w:rsidP="00164B89">
      <w:pPr>
        <w:ind w:firstLine="1440"/>
        <w:outlineLvl w:val="0"/>
        <w:rPr>
          <w:rFonts w:ascii="Bookman Old Style" w:hAnsi="Bookman Old Style"/>
        </w:rPr>
      </w:pPr>
    </w:p>
    <w:p w:rsidR="00164B89" w:rsidRDefault="00164B89" w:rsidP="00164B89">
      <w:pPr>
        <w:ind w:firstLine="1440"/>
        <w:outlineLvl w:val="0"/>
        <w:rPr>
          <w:rFonts w:ascii="Bookman Old Style" w:hAnsi="Bookman Old Style"/>
        </w:rPr>
      </w:pPr>
    </w:p>
    <w:p w:rsidR="00164B89" w:rsidRDefault="00164B89" w:rsidP="00164B8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fevereiro de 2011.</w:t>
      </w:r>
    </w:p>
    <w:p w:rsidR="00164B89" w:rsidRDefault="00164B89" w:rsidP="00164B89">
      <w:pPr>
        <w:ind w:firstLine="1440"/>
        <w:rPr>
          <w:rFonts w:ascii="Bookman Old Style" w:hAnsi="Bookman Old Style"/>
        </w:rPr>
      </w:pPr>
    </w:p>
    <w:p w:rsidR="00164B89" w:rsidRDefault="00164B89" w:rsidP="00164B89">
      <w:pPr>
        <w:rPr>
          <w:rFonts w:ascii="Bookman Old Style" w:hAnsi="Bookman Old Style"/>
        </w:rPr>
      </w:pPr>
    </w:p>
    <w:p w:rsidR="00164B89" w:rsidRDefault="00164B89" w:rsidP="00164B89">
      <w:pPr>
        <w:ind w:firstLine="1440"/>
        <w:rPr>
          <w:rFonts w:ascii="Bookman Old Style" w:hAnsi="Bookman Old Style"/>
        </w:rPr>
      </w:pPr>
    </w:p>
    <w:p w:rsidR="00164B89" w:rsidRDefault="00164B89" w:rsidP="00164B89">
      <w:pPr>
        <w:ind w:firstLine="1440"/>
        <w:rPr>
          <w:rFonts w:ascii="Bookman Old Style" w:hAnsi="Bookman Old Style"/>
        </w:rPr>
      </w:pPr>
    </w:p>
    <w:p w:rsidR="00164B89" w:rsidRDefault="00164B89" w:rsidP="00164B89">
      <w:pPr>
        <w:ind w:firstLine="1440"/>
        <w:rPr>
          <w:rFonts w:ascii="Bookman Old Style" w:hAnsi="Bookman Old Style"/>
        </w:rPr>
      </w:pPr>
    </w:p>
    <w:p w:rsidR="00164B89" w:rsidRDefault="00164B89" w:rsidP="00164B89">
      <w:pPr>
        <w:jc w:val="center"/>
        <w:outlineLvl w:val="0"/>
        <w:rPr>
          <w:rFonts w:ascii="Bookman Old Style" w:hAnsi="Bookman Old Style"/>
          <w:b/>
        </w:rPr>
      </w:pPr>
    </w:p>
    <w:p w:rsidR="00164B89" w:rsidRDefault="00164B89" w:rsidP="00164B8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64B89" w:rsidRDefault="00164B89" w:rsidP="00164B8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64B89" w:rsidRPr="0077772D" w:rsidRDefault="00164B89" w:rsidP="00164B89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8E" w:rsidRDefault="00D8458E">
      <w:r>
        <w:separator/>
      </w:r>
    </w:p>
  </w:endnote>
  <w:endnote w:type="continuationSeparator" w:id="0">
    <w:p w:rsidR="00D8458E" w:rsidRDefault="00D8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8E" w:rsidRDefault="00D8458E">
      <w:r>
        <w:separator/>
      </w:r>
    </w:p>
  </w:footnote>
  <w:footnote w:type="continuationSeparator" w:id="0">
    <w:p w:rsidR="00D8458E" w:rsidRDefault="00D84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4B89"/>
    <w:rsid w:val="001D1394"/>
    <w:rsid w:val="003D3AA8"/>
    <w:rsid w:val="004C67DE"/>
    <w:rsid w:val="009F196D"/>
    <w:rsid w:val="00A81798"/>
    <w:rsid w:val="00A9035B"/>
    <w:rsid w:val="00CD613B"/>
    <w:rsid w:val="00D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64B8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64B8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