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1C" w:rsidRDefault="00227F1C" w:rsidP="00227F1C">
      <w:pPr>
        <w:pStyle w:val="Ttulo"/>
      </w:pPr>
      <w:bookmarkStart w:id="0" w:name="_GoBack"/>
      <w:bookmarkEnd w:id="0"/>
      <w:r>
        <w:t>INDICAÇÃO Nº 598 /2011</w:t>
      </w:r>
    </w:p>
    <w:p w:rsidR="00227F1C" w:rsidRDefault="00227F1C" w:rsidP="00227F1C">
      <w:pPr>
        <w:jc w:val="center"/>
        <w:rPr>
          <w:rFonts w:ascii="Bookman Old Style" w:hAnsi="Bookman Old Style"/>
          <w:b/>
          <w:u w:val="single"/>
        </w:rPr>
      </w:pPr>
    </w:p>
    <w:p w:rsidR="00227F1C" w:rsidRDefault="00227F1C" w:rsidP="00227F1C">
      <w:pPr>
        <w:jc w:val="center"/>
        <w:rPr>
          <w:rFonts w:ascii="Bookman Old Style" w:hAnsi="Bookman Old Style"/>
          <w:b/>
          <w:u w:val="single"/>
        </w:rPr>
      </w:pPr>
    </w:p>
    <w:p w:rsidR="00227F1C" w:rsidRDefault="00227F1C" w:rsidP="00227F1C">
      <w:pPr>
        <w:pStyle w:val="Recuodecorpodetexto"/>
        <w:ind w:left="4440"/>
      </w:pPr>
      <w:r>
        <w:t>“Pintura de faixa preferencial para idosos e deficientes próximo aos cemitérios do Município, Cartórios  e ao velório.”</w:t>
      </w:r>
    </w:p>
    <w:p w:rsidR="00227F1C" w:rsidRDefault="00227F1C" w:rsidP="00227F1C">
      <w:pPr>
        <w:ind w:left="1440" w:firstLine="3600"/>
        <w:jc w:val="both"/>
        <w:rPr>
          <w:rFonts w:ascii="Bookman Old Style" w:hAnsi="Bookman Old Style"/>
        </w:rPr>
      </w:pPr>
    </w:p>
    <w:p w:rsidR="00227F1C" w:rsidRDefault="00227F1C" w:rsidP="00227F1C">
      <w:pPr>
        <w:ind w:left="1440" w:firstLine="3600"/>
        <w:jc w:val="both"/>
        <w:rPr>
          <w:rFonts w:ascii="Bookman Old Style" w:hAnsi="Bookman Old Style"/>
        </w:rPr>
      </w:pPr>
    </w:p>
    <w:p w:rsidR="00227F1C" w:rsidRDefault="00227F1C" w:rsidP="00227F1C">
      <w:pPr>
        <w:ind w:left="1440" w:firstLine="3600"/>
        <w:jc w:val="both"/>
        <w:rPr>
          <w:rFonts w:ascii="Bookman Old Style" w:hAnsi="Bookman Old Style"/>
        </w:rPr>
      </w:pPr>
    </w:p>
    <w:p w:rsidR="00227F1C" w:rsidRDefault="00227F1C" w:rsidP="00227F1C">
      <w:pPr>
        <w:ind w:left="1440" w:firstLine="3600"/>
        <w:jc w:val="both"/>
        <w:rPr>
          <w:rFonts w:ascii="Bookman Old Style" w:hAnsi="Bookman Old Style"/>
        </w:rPr>
      </w:pPr>
    </w:p>
    <w:p w:rsidR="00227F1C" w:rsidRDefault="00227F1C" w:rsidP="00227F1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demarcação de solo, dando preferência de estacionamento para idosos e deficientes nos pontos em epigrafe.</w:t>
      </w:r>
    </w:p>
    <w:p w:rsidR="00227F1C" w:rsidRDefault="00227F1C" w:rsidP="00227F1C">
      <w:pPr>
        <w:jc w:val="center"/>
        <w:rPr>
          <w:rFonts w:ascii="Bookman Old Style" w:hAnsi="Bookman Old Style"/>
          <w:b/>
        </w:rPr>
      </w:pPr>
    </w:p>
    <w:p w:rsidR="00227F1C" w:rsidRDefault="00227F1C" w:rsidP="00227F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7F1C" w:rsidRDefault="00227F1C" w:rsidP="00227F1C">
      <w:pPr>
        <w:jc w:val="center"/>
        <w:rPr>
          <w:rFonts w:ascii="Bookman Old Style" w:hAnsi="Bookman Old Style"/>
          <w:b/>
        </w:rPr>
      </w:pPr>
    </w:p>
    <w:p w:rsidR="00227F1C" w:rsidRDefault="00227F1C" w:rsidP="00227F1C">
      <w:pPr>
        <w:jc w:val="center"/>
        <w:rPr>
          <w:rFonts w:ascii="Bookman Old Style" w:hAnsi="Bookman Old Style"/>
          <w:b/>
        </w:rPr>
      </w:pPr>
    </w:p>
    <w:p w:rsidR="00227F1C" w:rsidRDefault="00227F1C" w:rsidP="00227F1C">
      <w:pPr>
        <w:jc w:val="center"/>
        <w:rPr>
          <w:rFonts w:ascii="Bookman Old Style" w:hAnsi="Bookman Old Style"/>
          <w:b/>
        </w:rPr>
      </w:pPr>
    </w:p>
    <w:p w:rsidR="00227F1C" w:rsidRDefault="00227F1C" w:rsidP="00227F1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pode notar a falta de demarcação de solo nos seguintes locais:  Cemitério Central, Cemitério da Cabriúva, e Parque dos Lírios, ainda próximo ao Velório Municipal e Cartórios, locais que com a devida demarcação trará maior comodidade a idosos e portadores de necessidades especiais.</w:t>
      </w:r>
    </w:p>
    <w:p w:rsidR="00227F1C" w:rsidRDefault="00227F1C" w:rsidP="00227F1C">
      <w:pPr>
        <w:ind w:firstLine="1440"/>
        <w:jc w:val="both"/>
        <w:outlineLvl w:val="0"/>
        <w:rPr>
          <w:rFonts w:ascii="Bookman Old Style" w:hAnsi="Bookman Old Style"/>
        </w:rPr>
      </w:pPr>
    </w:p>
    <w:p w:rsidR="00227F1C" w:rsidRDefault="00227F1C" w:rsidP="00227F1C">
      <w:pPr>
        <w:ind w:firstLine="1440"/>
        <w:jc w:val="both"/>
        <w:outlineLvl w:val="0"/>
        <w:rPr>
          <w:rFonts w:ascii="Bookman Old Style" w:hAnsi="Bookman Old Style"/>
        </w:rPr>
      </w:pPr>
    </w:p>
    <w:p w:rsidR="00227F1C" w:rsidRDefault="00227F1C" w:rsidP="00227F1C">
      <w:pPr>
        <w:ind w:firstLine="1440"/>
        <w:outlineLvl w:val="0"/>
        <w:rPr>
          <w:rFonts w:ascii="Bookman Old Style" w:hAnsi="Bookman Old Style"/>
        </w:rPr>
      </w:pPr>
    </w:p>
    <w:p w:rsidR="00227F1C" w:rsidRDefault="00227F1C" w:rsidP="00227F1C">
      <w:pPr>
        <w:ind w:firstLine="1440"/>
        <w:outlineLvl w:val="0"/>
        <w:rPr>
          <w:rFonts w:ascii="Bookman Old Style" w:hAnsi="Bookman Old Style"/>
        </w:rPr>
      </w:pPr>
    </w:p>
    <w:p w:rsidR="00227F1C" w:rsidRDefault="00227F1C" w:rsidP="00227F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2011.</w:t>
      </w:r>
    </w:p>
    <w:p w:rsidR="00227F1C" w:rsidRDefault="00227F1C" w:rsidP="00227F1C">
      <w:pPr>
        <w:ind w:firstLine="1440"/>
        <w:rPr>
          <w:rFonts w:ascii="Bookman Old Style" w:hAnsi="Bookman Old Style"/>
        </w:rPr>
      </w:pPr>
    </w:p>
    <w:p w:rsidR="00227F1C" w:rsidRDefault="00227F1C" w:rsidP="00227F1C">
      <w:pPr>
        <w:rPr>
          <w:rFonts w:ascii="Bookman Old Style" w:hAnsi="Bookman Old Style"/>
        </w:rPr>
      </w:pPr>
    </w:p>
    <w:p w:rsidR="00227F1C" w:rsidRDefault="00227F1C" w:rsidP="00227F1C">
      <w:pPr>
        <w:ind w:firstLine="1440"/>
        <w:rPr>
          <w:rFonts w:ascii="Bookman Old Style" w:hAnsi="Bookman Old Style"/>
        </w:rPr>
      </w:pPr>
    </w:p>
    <w:p w:rsidR="00227F1C" w:rsidRDefault="00227F1C" w:rsidP="00227F1C">
      <w:pPr>
        <w:ind w:firstLine="1440"/>
        <w:rPr>
          <w:rFonts w:ascii="Bookman Old Style" w:hAnsi="Bookman Old Style"/>
        </w:rPr>
      </w:pPr>
    </w:p>
    <w:p w:rsidR="00227F1C" w:rsidRDefault="00227F1C" w:rsidP="00227F1C">
      <w:pPr>
        <w:ind w:firstLine="1440"/>
        <w:rPr>
          <w:rFonts w:ascii="Bookman Old Style" w:hAnsi="Bookman Old Style"/>
        </w:rPr>
      </w:pPr>
    </w:p>
    <w:p w:rsidR="00227F1C" w:rsidRDefault="00227F1C" w:rsidP="00227F1C">
      <w:pPr>
        <w:jc w:val="center"/>
        <w:outlineLvl w:val="0"/>
        <w:rPr>
          <w:rFonts w:ascii="Bookman Old Style" w:hAnsi="Bookman Old Style"/>
          <w:b/>
        </w:rPr>
      </w:pPr>
    </w:p>
    <w:p w:rsidR="00227F1C" w:rsidRDefault="00227F1C" w:rsidP="00227F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27F1C" w:rsidRDefault="00227F1C" w:rsidP="00227F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27F1C" w:rsidRDefault="00227F1C" w:rsidP="00227F1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1B" w:rsidRDefault="00A8791B">
      <w:r>
        <w:separator/>
      </w:r>
    </w:p>
  </w:endnote>
  <w:endnote w:type="continuationSeparator" w:id="0">
    <w:p w:rsidR="00A8791B" w:rsidRDefault="00A8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1B" w:rsidRDefault="00A8791B">
      <w:r>
        <w:separator/>
      </w:r>
    </w:p>
  </w:footnote>
  <w:footnote w:type="continuationSeparator" w:id="0">
    <w:p w:rsidR="00A8791B" w:rsidRDefault="00A8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4DE"/>
    <w:rsid w:val="001D1394"/>
    <w:rsid w:val="00227F1C"/>
    <w:rsid w:val="003D3AA8"/>
    <w:rsid w:val="004C67DE"/>
    <w:rsid w:val="009F196D"/>
    <w:rsid w:val="00A8791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7F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7F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