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5C" w:rsidRDefault="0049065C" w:rsidP="0049065C">
      <w:pPr>
        <w:pStyle w:val="Ttulo"/>
      </w:pPr>
      <w:bookmarkStart w:id="0" w:name="_GoBack"/>
      <w:bookmarkEnd w:id="0"/>
      <w:r>
        <w:t>INDICAÇÃO Nº 600 /2011</w:t>
      </w:r>
    </w:p>
    <w:p w:rsidR="0049065C" w:rsidRDefault="0049065C" w:rsidP="0049065C">
      <w:pPr>
        <w:jc w:val="center"/>
        <w:rPr>
          <w:rFonts w:ascii="Bookman Old Style" w:hAnsi="Bookman Old Style"/>
          <w:b/>
          <w:u w:val="single"/>
        </w:rPr>
      </w:pPr>
    </w:p>
    <w:p w:rsidR="0049065C" w:rsidRDefault="0049065C" w:rsidP="0049065C">
      <w:pPr>
        <w:jc w:val="center"/>
        <w:rPr>
          <w:rFonts w:ascii="Bookman Old Style" w:hAnsi="Bookman Old Style"/>
          <w:b/>
          <w:u w:val="single"/>
        </w:rPr>
      </w:pPr>
    </w:p>
    <w:p w:rsidR="0049065C" w:rsidRDefault="0049065C" w:rsidP="0049065C">
      <w:pPr>
        <w:pStyle w:val="Recuodecorpodetexto"/>
        <w:ind w:left="4440"/>
      </w:pPr>
      <w:r>
        <w:t>“Manutenção em área de lazer, localizada na Rua Alexandre Furlan, Monte Líbano”.</w:t>
      </w:r>
    </w:p>
    <w:p w:rsidR="0049065C" w:rsidRDefault="0049065C" w:rsidP="0049065C">
      <w:pPr>
        <w:ind w:left="1440" w:firstLine="3600"/>
        <w:jc w:val="both"/>
        <w:rPr>
          <w:rFonts w:ascii="Bookman Old Style" w:hAnsi="Bookman Old Style"/>
        </w:rPr>
      </w:pPr>
    </w:p>
    <w:p w:rsidR="0049065C" w:rsidRDefault="0049065C" w:rsidP="0049065C">
      <w:pPr>
        <w:ind w:left="1440" w:firstLine="3600"/>
        <w:jc w:val="both"/>
        <w:rPr>
          <w:rFonts w:ascii="Bookman Old Style" w:hAnsi="Bookman Old Style"/>
        </w:rPr>
      </w:pPr>
    </w:p>
    <w:p w:rsidR="0049065C" w:rsidRDefault="0049065C" w:rsidP="0049065C">
      <w:pPr>
        <w:ind w:left="1440" w:firstLine="3600"/>
        <w:jc w:val="both"/>
        <w:rPr>
          <w:rFonts w:ascii="Bookman Old Style" w:hAnsi="Bookman Old Style"/>
        </w:rPr>
      </w:pPr>
    </w:p>
    <w:p w:rsidR="0049065C" w:rsidRDefault="0049065C" w:rsidP="0049065C">
      <w:pPr>
        <w:ind w:left="1440" w:firstLine="3600"/>
        <w:jc w:val="both"/>
        <w:rPr>
          <w:rFonts w:ascii="Bookman Old Style" w:hAnsi="Bookman Old Style"/>
        </w:rPr>
      </w:pPr>
    </w:p>
    <w:p w:rsidR="0049065C" w:rsidRDefault="0049065C" w:rsidP="004906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manutenção na área de lazer do Bairro Monte Líbano.</w:t>
      </w:r>
    </w:p>
    <w:p w:rsidR="0049065C" w:rsidRDefault="0049065C" w:rsidP="0049065C">
      <w:pPr>
        <w:ind w:firstLine="1440"/>
        <w:jc w:val="both"/>
        <w:rPr>
          <w:rFonts w:ascii="Bookman Old Style" w:hAnsi="Bookman Old Style"/>
          <w:b/>
        </w:rPr>
      </w:pPr>
    </w:p>
    <w:p w:rsidR="0049065C" w:rsidRDefault="0049065C" w:rsidP="0049065C">
      <w:pPr>
        <w:jc w:val="center"/>
        <w:rPr>
          <w:rFonts w:ascii="Bookman Old Style" w:hAnsi="Bookman Old Style"/>
          <w:b/>
        </w:rPr>
      </w:pPr>
    </w:p>
    <w:p w:rsidR="0049065C" w:rsidRDefault="0049065C" w:rsidP="0049065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49065C" w:rsidRDefault="0049065C" w:rsidP="0049065C">
      <w:pPr>
        <w:jc w:val="center"/>
        <w:rPr>
          <w:rFonts w:ascii="Bookman Old Style" w:hAnsi="Bookman Old Style"/>
          <w:b/>
        </w:rPr>
      </w:pPr>
    </w:p>
    <w:p w:rsidR="0049065C" w:rsidRDefault="0049065C" w:rsidP="0049065C">
      <w:pPr>
        <w:jc w:val="center"/>
        <w:rPr>
          <w:rFonts w:ascii="Bookman Old Style" w:hAnsi="Bookman Old Style"/>
          <w:b/>
        </w:rPr>
      </w:pPr>
    </w:p>
    <w:p w:rsidR="0049065C" w:rsidRDefault="0049065C" w:rsidP="0049065C">
      <w:pPr>
        <w:jc w:val="center"/>
        <w:rPr>
          <w:rFonts w:ascii="Bookman Old Style" w:hAnsi="Bookman Old Style"/>
          <w:b/>
        </w:rPr>
      </w:pPr>
    </w:p>
    <w:p w:rsidR="0049065C" w:rsidRDefault="0049065C" w:rsidP="0049065C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área de lazer, localizada ao lado da Escola “Atílio Dextro”, encontra-se em total estado de abandono, necessita de grades, pintura, troca de postes de sustentação, implantação de rampa de acesso para portadores de necessidades especiais e acesso para que os usuários não precisem se locomover pelo gramado a fim de utilizarem a quadra.</w:t>
      </w:r>
    </w:p>
    <w:p w:rsidR="0049065C" w:rsidRDefault="0049065C" w:rsidP="0049065C">
      <w:pPr>
        <w:ind w:firstLine="1440"/>
        <w:jc w:val="both"/>
        <w:outlineLvl w:val="0"/>
        <w:rPr>
          <w:rFonts w:ascii="Bookman Old Style" w:hAnsi="Bookman Old Style"/>
        </w:rPr>
      </w:pPr>
    </w:p>
    <w:p w:rsidR="0049065C" w:rsidRDefault="0049065C" w:rsidP="0049065C">
      <w:pPr>
        <w:ind w:firstLine="1440"/>
        <w:outlineLvl w:val="0"/>
        <w:rPr>
          <w:rFonts w:ascii="Bookman Old Style" w:hAnsi="Bookman Old Style"/>
        </w:rPr>
      </w:pPr>
    </w:p>
    <w:p w:rsidR="0049065C" w:rsidRDefault="0049065C" w:rsidP="0049065C">
      <w:pPr>
        <w:ind w:firstLine="1440"/>
        <w:outlineLvl w:val="0"/>
        <w:rPr>
          <w:rFonts w:ascii="Bookman Old Style" w:hAnsi="Bookman Old Style"/>
        </w:rPr>
      </w:pPr>
    </w:p>
    <w:p w:rsidR="0049065C" w:rsidRDefault="0049065C" w:rsidP="0049065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49065C" w:rsidRDefault="0049065C" w:rsidP="0049065C">
      <w:pPr>
        <w:ind w:firstLine="1440"/>
        <w:rPr>
          <w:rFonts w:ascii="Bookman Old Style" w:hAnsi="Bookman Old Style"/>
        </w:rPr>
      </w:pPr>
    </w:p>
    <w:p w:rsidR="0049065C" w:rsidRDefault="0049065C" w:rsidP="0049065C">
      <w:pPr>
        <w:rPr>
          <w:rFonts w:ascii="Bookman Old Style" w:hAnsi="Bookman Old Style"/>
        </w:rPr>
      </w:pPr>
    </w:p>
    <w:p w:rsidR="0049065C" w:rsidRDefault="0049065C" w:rsidP="0049065C">
      <w:pPr>
        <w:ind w:firstLine="1440"/>
        <w:rPr>
          <w:rFonts w:ascii="Bookman Old Style" w:hAnsi="Bookman Old Style"/>
        </w:rPr>
      </w:pPr>
    </w:p>
    <w:p w:rsidR="0049065C" w:rsidRDefault="0049065C" w:rsidP="0049065C">
      <w:pPr>
        <w:ind w:firstLine="1440"/>
        <w:rPr>
          <w:rFonts w:ascii="Bookman Old Style" w:hAnsi="Bookman Old Style"/>
        </w:rPr>
      </w:pPr>
    </w:p>
    <w:p w:rsidR="0049065C" w:rsidRDefault="0049065C" w:rsidP="0049065C">
      <w:pPr>
        <w:ind w:firstLine="1440"/>
        <w:rPr>
          <w:rFonts w:ascii="Bookman Old Style" w:hAnsi="Bookman Old Style"/>
        </w:rPr>
      </w:pPr>
    </w:p>
    <w:p w:rsidR="0049065C" w:rsidRDefault="0049065C" w:rsidP="0049065C">
      <w:pPr>
        <w:jc w:val="center"/>
        <w:outlineLvl w:val="0"/>
        <w:rPr>
          <w:rFonts w:ascii="Bookman Old Style" w:hAnsi="Bookman Old Style"/>
          <w:b/>
        </w:rPr>
      </w:pPr>
    </w:p>
    <w:p w:rsidR="0049065C" w:rsidRDefault="0049065C" w:rsidP="004906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49065C" w:rsidRDefault="0049065C" w:rsidP="0049065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49065C" w:rsidRPr="0077772D" w:rsidRDefault="0049065C" w:rsidP="0049065C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24" w:rsidRDefault="007C5424">
      <w:r>
        <w:separator/>
      </w:r>
    </w:p>
  </w:endnote>
  <w:endnote w:type="continuationSeparator" w:id="0">
    <w:p w:rsidR="007C5424" w:rsidRDefault="007C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24" w:rsidRDefault="007C5424">
      <w:r>
        <w:separator/>
      </w:r>
    </w:p>
  </w:footnote>
  <w:footnote w:type="continuationSeparator" w:id="0">
    <w:p w:rsidR="007C5424" w:rsidRDefault="007C5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9065C"/>
    <w:rsid w:val="004C67DE"/>
    <w:rsid w:val="007C5424"/>
    <w:rsid w:val="009F196D"/>
    <w:rsid w:val="00A9035B"/>
    <w:rsid w:val="00CA594F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9065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9065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