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4A" w:rsidRPr="00FD124A" w:rsidRDefault="00FD124A" w:rsidP="00FD124A">
      <w:pPr>
        <w:pStyle w:val="Ttulo"/>
      </w:pPr>
      <w:bookmarkStart w:id="0" w:name="_GoBack"/>
      <w:bookmarkEnd w:id="0"/>
      <w:r w:rsidRPr="00FD124A">
        <w:t>INDICAÇÃO Nº  697 /11</w:t>
      </w:r>
    </w:p>
    <w:p w:rsidR="00FD124A" w:rsidRPr="00FD124A" w:rsidRDefault="00FD124A" w:rsidP="00FD12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D124A" w:rsidRPr="00FD124A" w:rsidRDefault="00FD124A" w:rsidP="00FD12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D124A" w:rsidRPr="00FD124A" w:rsidRDefault="00FD124A" w:rsidP="00FD12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D124A" w:rsidRPr="00FD124A" w:rsidRDefault="00FD124A" w:rsidP="00FD124A">
      <w:pPr>
        <w:pStyle w:val="Recuodecorpodetexto"/>
        <w:ind w:left="4440"/>
      </w:pPr>
      <w:r w:rsidRPr="00FD124A">
        <w:t xml:space="preserve">“Operação tapa-buracos na Rua Pedro Alvarez Cabral, de frente ao nº 293, no bairro Santa Cruz”. </w:t>
      </w:r>
    </w:p>
    <w:p w:rsidR="00FD124A" w:rsidRPr="00FD124A" w:rsidRDefault="00FD124A" w:rsidP="00FD12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b/>
          <w:bCs/>
          <w:sz w:val="24"/>
          <w:szCs w:val="24"/>
        </w:rPr>
        <w:t>INDICA</w:t>
      </w:r>
      <w:r w:rsidRPr="00FD124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Pedro Alvarez Cabral, de frente ao nº 293, no bairro Santa Cruz.</w:t>
      </w: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D124A" w:rsidRPr="00FD124A" w:rsidRDefault="00FD124A" w:rsidP="00FD124A">
      <w:pPr>
        <w:jc w:val="center"/>
        <w:rPr>
          <w:rFonts w:ascii="Bookman Old Style" w:hAnsi="Bookman Old Style"/>
          <w:b/>
          <w:sz w:val="24"/>
          <w:szCs w:val="24"/>
        </w:rPr>
      </w:pPr>
      <w:r w:rsidRPr="00FD124A">
        <w:rPr>
          <w:rFonts w:ascii="Bookman Old Style" w:hAnsi="Bookman Old Style"/>
          <w:b/>
          <w:sz w:val="24"/>
          <w:szCs w:val="24"/>
        </w:rPr>
        <w:t>Justificativa:</w:t>
      </w:r>
    </w:p>
    <w:p w:rsidR="00FD124A" w:rsidRPr="00FD124A" w:rsidRDefault="00FD124A" w:rsidP="00FD1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124A" w:rsidRPr="00FD124A" w:rsidRDefault="00FD124A" w:rsidP="00FD1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124A" w:rsidRPr="00FD124A" w:rsidRDefault="00FD124A" w:rsidP="00FD124A">
      <w:pPr>
        <w:pStyle w:val="Recuodecorpodetexto"/>
        <w:ind w:left="0" w:firstLine="1440"/>
        <w:rPr>
          <w:b/>
        </w:rPr>
      </w:pPr>
      <w:r w:rsidRPr="00FD124A">
        <w:t xml:space="preserve">O buraco existente no local foi aberto pelo DAE – Departamento de Água e Esgoto, e após a conclusão dos serviços o mesmo não foi tampado e está danificando os veículos e dificultando o tráfego pela via e aumentando o risco de acidentes devido ao estado deteriorado da referida via, causando transtornos para os moradores que transitam pelo local diariamente: </w:t>
      </w:r>
      <w:r w:rsidRPr="00FD124A">
        <w:rPr>
          <w:b/>
        </w:rPr>
        <w:t>(Segue fotos em anexo)</w:t>
      </w: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t xml:space="preserve">  </w:t>
      </w: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t xml:space="preserve">  </w:t>
      </w:r>
    </w:p>
    <w:p w:rsidR="00FD124A" w:rsidRPr="00FD124A" w:rsidRDefault="00FD124A" w:rsidP="00FD124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t>Plenário “Dr. Tancredo Neves”, em 24de fevereiro de 2011</w:t>
      </w:r>
    </w:p>
    <w:p w:rsidR="00FD124A" w:rsidRPr="00FD124A" w:rsidRDefault="00FD124A" w:rsidP="00FD124A">
      <w:pPr>
        <w:ind w:firstLine="144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t xml:space="preserve"> </w:t>
      </w:r>
    </w:p>
    <w:p w:rsidR="00FD124A" w:rsidRPr="00FD124A" w:rsidRDefault="00FD124A" w:rsidP="00FD124A">
      <w:pPr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D124A">
        <w:rPr>
          <w:rFonts w:ascii="Bookman Old Style" w:hAnsi="Bookman Old Style"/>
          <w:b/>
          <w:sz w:val="24"/>
          <w:szCs w:val="24"/>
        </w:rPr>
        <w:t>ANÍZIO TAVARES</w:t>
      </w: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t>-Vereador/Vice-Presidente-</w:t>
      </w: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outlineLvl w:val="0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t>(Fls. nº 2 - Operação tapa-buracos na Rua Pedro Alvarez Cabral, de frente ao nº 293, no bairro Santa Cruz)</w:t>
      </w: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outlineLvl w:val="0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150"/>
          </v:shape>
        </w:pict>
      </w:r>
    </w:p>
    <w:p w:rsidR="00FD124A" w:rsidRPr="00FD124A" w:rsidRDefault="00FD124A" w:rsidP="00FD124A">
      <w:pPr>
        <w:outlineLvl w:val="0"/>
        <w:rPr>
          <w:rFonts w:ascii="Bookman Old Style" w:hAnsi="Bookman Old Style"/>
          <w:sz w:val="24"/>
          <w:szCs w:val="24"/>
        </w:rPr>
      </w:pPr>
    </w:p>
    <w:p w:rsidR="00FD124A" w:rsidRPr="00FD124A" w:rsidRDefault="00FD124A" w:rsidP="00FD124A">
      <w:pPr>
        <w:outlineLvl w:val="0"/>
        <w:rPr>
          <w:rFonts w:ascii="Bookman Old Style" w:hAnsi="Bookman Old Style"/>
          <w:sz w:val="24"/>
          <w:szCs w:val="24"/>
        </w:rPr>
      </w:pPr>
      <w:r w:rsidRPr="00FD124A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1149"/>
          </v:shape>
        </w:pict>
      </w:r>
    </w:p>
    <w:p w:rsidR="009F196D" w:rsidRPr="00FD124A" w:rsidRDefault="009F196D" w:rsidP="00CD613B">
      <w:pPr>
        <w:rPr>
          <w:sz w:val="24"/>
          <w:szCs w:val="24"/>
        </w:rPr>
      </w:pPr>
    </w:p>
    <w:sectPr w:rsidR="009F196D" w:rsidRPr="00FD124A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B4" w:rsidRDefault="00D512B4">
      <w:r>
        <w:separator/>
      </w:r>
    </w:p>
  </w:endnote>
  <w:endnote w:type="continuationSeparator" w:id="0">
    <w:p w:rsidR="00D512B4" w:rsidRDefault="00D5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B4" w:rsidRDefault="00D512B4">
      <w:r>
        <w:separator/>
      </w:r>
    </w:p>
  </w:footnote>
  <w:footnote w:type="continuationSeparator" w:id="0">
    <w:p w:rsidR="00D512B4" w:rsidRDefault="00D5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4689"/>
    <w:rsid w:val="009F196D"/>
    <w:rsid w:val="00A9035B"/>
    <w:rsid w:val="00CD613B"/>
    <w:rsid w:val="00D512B4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12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124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D124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12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