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3B" w:rsidRDefault="003F143B" w:rsidP="003F143B">
      <w:pPr>
        <w:pStyle w:val="Ttulo"/>
      </w:pPr>
      <w:bookmarkStart w:id="0" w:name="_GoBack"/>
      <w:bookmarkEnd w:id="0"/>
      <w:r>
        <w:t>INDICAÇÃO Nº                         1205       /2011</w:t>
      </w:r>
    </w:p>
    <w:p w:rsidR="003F143B" w:rsidRDefault="003F143B" w:rsidP="003F143B">
      <w:pPr>
        <w:jc w:val="center"/>
        <w:rPr>
          <w:rFonts w:ascii="Bookman Old Style" w:hAnsi="Bookman Old Style"/>
          <w:b/>
          <w:u w:val="single"/>
        </w:rPr>
      </w:pPr>
    </w:p>
    <w:p w:rsidR="003F143B" w:rsidRDefault="003F143B" w:rsidP="003F143B">
      <w:pPr>
        <w:jc w:val="center"/>
        <w:rPr>
          <w:rFonts w:ascii="Bookman Old Style" w:hAnsi="Bookman Old Style"/>
          <w:b/>
          <w:u w:val="single"/>
        </w:rPr>
      </w:pPr>
    </w:p>
    <w:p w:rsidR="003F143B" w:rsidRDefault="003F143B" w:rsidP="003F143B">
      <w:pPr>
        <w:pStyle w:val="Recuodecorpodetexto"/>
        <w:ind w:left="4440"/>
      </w:pPr>
      <w:r>
        <w:t>“Operação ‘tapa-buracos’ no Distrito Industrial II”.</w:t>
      </w:r>
    </w:p>
    <w:p w:rsidR="003F143B" w:rsidRDefault="003F143B" w:rsidP="003F143B">
      <w:pPr>
        <w:ind w:left="1440" w:firstLine="3600"/>
        <w:jc w:val="both"/>
        <w:rPr>
          <w:rFonts w:ascii="Bookman Old Style" w:hAnsi="Bookman Old Style"/>
        </w:rPr>
      </w:pPr>
    </w:p>
    <w:p w:rsidR="003F143B" w:rsidRDefault="003F143B" w:rsidP="003F143B">
      <w:pPr>
        <w:ind w:left="1440" w:firstLine="3600"/>
        <w:jc w:val="both"/>
        <w:rPr>
          <w:rFonts w:ascii="Bookman Old Style" w:hAnsi="Bookman Old Style"/>
        </w:rPr>
      </w:pPr>
    </w:p>
    <w:p w:rsidR="003F143B" w:rsidRDefault="003F143B" w:rsidP="003F143B">
      <w:pPr>
        <w:ind w:left="1440" w:firstLine="3600"/>
        <w:jc w:val="both"/>
        <w:rPr>
          <w:rFonts w:ascii="Bookman Old Style" w:hAnsi="Bookman Old Style"/>
        </w:rPr>
      </w:pPr>
    </w:p>
    <w:p w:rsidR="003F143B" w:rsidRDefault="003F143B" w:rsidP="003F143B">
      <w:pPr>
        <w:ind w:left="1440" w:firstLine="3600"/>
        <w:jc w:val="both"/>
        <w:rPr>
          <w:rFonts w:ascii="Bookman Old Style" w:hAnsi="Bookman Old Style"/>
        </w:rPr>
      </w:pPr>
    </w:p>
    <w:p w:rsidR="003F143B" w:rsidRDefault="003F143B" w:rsidP="003F143B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operação “tapa-buracos” em toda extensão da Avenida Dirceu Dias Carneiro, no Distrito industrial II.</w:t>
      </w:r>
    </w:p>
    <w:p w:rsidR="003F143B" w:rsidRDefault="003F143B" w:rsidP="003F143B">
      <w:pPr>
        <w:jc w:val="center"/>
        <w:rPr>
          <w:rFonts w:ascii="Bookman Old Style" w:hAnsi="Bookman Old Style"/>
          <w:b/>
        </w:rPr>
      </w:pPr>
    </w:p>
    <w:p w:rsidR="003F143B" w:rsidRDefault="003F143B" w:rsidP="003F143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F143B" w:rsidRDefault="003F143B" w:rsidP="003F143B">
      <w:pPr>
        <w:jc w:val="center"/>
        <w:rPr>
          <w:rFonts w:ascii="Bookman Old Style" w:hAnsi="Bookman Old Style"/>
          <w:b/>
        </w:rPr>
      </w:pPr>
    </w:p>
    <w:p w:rsidR="003F143B" w:rsidRDefault="003F143B" w:rsidP="003F143B">
      <w:pPr>
        <w:jc w:val="center"/>
        <w:rPr>
          <w:rFonts w:ascii="Bookman Old Style" w:hAnsi="Bookman Old Style"/>
          <w:b/>
        </w:rPr>
      </w:pPr>
    </w:p>
    <w:p w:rsidR="003F143B" w:rsidRDefault="003F143B" w:rsidP="003F143B">
      <w:pPr>
        <w:jc w:val="center"/>
        <w:rPr>
          <w:rFonts w:ascii="Bookman Old Style" w:hAnsi="Bookman Old Style"/>
          <w:b/>
        </w:rPr>
      </w:pPr>
    </w:p>
    <w:p w:rsidR="003F143B" w:rsidRDefault="003F143B" w:rsidP="003F143B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Trabalhadores das empresas localizadas no Distrito industrial II pedem operação “tapa-buracos” urgente, na Avenida Dirceu Dias Carneiro, pois, motociclistas já perderam o controle de suas motos e sofreram quedas, assim como motoristas atingiram ciclistas ao desviarem dos inúmeros buracos. </w:t>
      </w:r>
    </w:p>
    <w:p w:rsidR="003F143B" w:rsidRDefault="003F143B" w:rsidP="003F143B">
      <w:pPr>
        <w:ind w:firstLine="1440"/>
        <w:jc w:val="both"/>
        <w:rPr>
          <w:rFonts w:ascii="Bookman Old Style" w:hAnsi="Bookman Old Style"/>
        </w:rPr>
      </w:pPr>
    </w:p>
    <w:p w:rsidR="003F143B" w:rsidRDefault="003F143B" w:rsidP="003F143B">
      <w:pPr>
        <w:ind w:firstLine="1440"/>
        <w:jc w:val="both"/>
        <w:outlineLvl w:val="0"/>
        <w:rPr>
          <w:rFonts w:ascii="Bookman Old Style" w:hAnsi="Bookman Old Style"/>
        </w:rPr>
      </w:pPr>
    </w:p>
    <w:p w:rsidR="003F143B" w:rsidRDefault="003F143B" w:rsidP="003F143B">
      <w:pPr>
        <w:ind w:firstLine="1440"/>
        <w:outlineLvl w:val="0"/>
        <w:rPr>
          <w:rFonts w:ascii="Bookman Old Style" w:hAnsi="Bookman Old Style"/>
        </w:rPr>
      </w:pPr>
    </w:p>
    <w:p w:rsidR="003F143B" w:rsidRDefault="003F143B" w:rsidP="003F143B">
      <w:pPr>
        <w:ind w:firstLine="1440"/>
        <w:outlineLvl w:val="0"/>
        <w:rPr>
          <w:rFonts w:ascii="Bookman Old Style" w:hAnsi="Bookman Old Style"/>
        </w:rPr>
      </w:pPr>
    </w:p>
    <w:p w:rsidR="003F143B" w:rsidRDefault="003F143B" w:rsidP="003F143B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29 de março de 2011.</w:t>
      </w:r>
    </w:p>
    <w:p w:rsidR="003F143B" w:rsidRDefault="003F143B" w:rsidP="003F143B">
      <w:pPr>
        <w:ind w:firstLine="1440"/>
        <w:rPr>
          <w:rFonts w:ascii="Bookman Old Style" w:hAnsi="Bookman Old Style"/>
        </w:rPr>
      </w:pPr>
    </w:p>
    <w:p w:rsidR="003F143B" w:rsidRDefault="003F143B" w:rsidP="003F143B">
      <w:pPr>
        <w:rPr>
          <w:rFonts w:ascii="Bookman Old Style" w:hAnsi="Bookman Old Style"/>
        </w:rPr>
      </w:pPr>
    </w:p>
    <w:p w:rsidR="003F143B" w:rsidRDefault="003F143B" w:rsidP="003F143B">
      <w:pPr>
        <w:ind w:firstLine="1440"/>
        <w:rPr>
          <w:rFonts w:ascii="Bookman Old Style" w:hAnsi="Bookman Old Style"/>
        </w:rPr>
      </w:pPr>
    </w:p>
    <w:p w:rsidR="003F143B" w:rsidRDefault="003F143B" w:rsidP="003F143B">
      <w:pPr>
        <w:ind w:firstLine="1440"/>
        <w:rPr>
          <w:rFonts w:ascii="Bookman Old Style" w:hAnsi="Bookman Old Style"/>
        </w:rPr>
      </w:pPr>
    </w:p>
    <w:p w:rsidR="003F143B" w:rsidRDefault="003F143B" w:rsidP="003F143B">
      <w:pPr>
        <w:ind w:firstLine="1440"/>
        <w:rPr>
          <w:rFonts w:ascii="Bookman Old Style" w:hAnsi="Bookman Old Style"/>
        </w:rPr>
      </w:pPr>
    </w:p>
    <w:p w:rsidR="003F143B" w:rsidRDefault="003F143B" w:rsidP="003F143B">
      <w:pPr>
        <w:jc w:val="center"/>
        <w:outlineLvl w:val="0"/>
        <w:rPr>
          <w:rFonts w:ascii="Bookman Old Style" w:hAnsi="Bookman Old Style"/>
          <w:b/>
        </w:rPr>
      </w:pPr>
    </w:p>
    <w:p w:rsidR="003F143B" w:rsidRDefault="003F143B" w:rsidP="003F14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F143B" w:rsidRDefault="003F143B" w:rsidP="003F143B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F143B" w:rsidRDefault="003F143B" w:rsidP="003F143B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18" w:rsidRDefault="00175D18">
      <w:r>
        <w:separator/>
      </w:r>
    </w:p>
  </w:endnote>
  <w:endnote w:type="continuationSeparator" w:id="0">
    <w:p w:rsidR="00175D18" w:rsidRDefault="0017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18" w:rsidRDefault="00175D18">
      <w:r>
        <w:separator/>
      </w:r>
    </w:p>
  </w:footnote>
  <w:footnote w:type="continuationSeparator" w:id="0">
    <w:p w:rsidR="00175D18" w:rsidRDefault="00175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75D18"/>
    <w:rsid w:val="001D1394"/>
    <w:rsid w:val="003D3AA8"/>
    <w:rsid w:val="003F143B"/>
    <w:rsid w:val="004C67DE"/>
    <w:rsid w:val="009F196D"/>
    <w:rsid w:val="00A9035B"/>
    <w:rsid w:val="00C96986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F143B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F143B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