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63" w:rsidRPr="00EC42C0" w:rsidRDefault="00A92F63" w:rsidP="00A92F63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1274</w:t>
      </w:r>
      <w:r w:rsidRPr="00EC42C0">
        <w:t>/</w:t>
      </w:r>
      <w:r>
        <w:t>11</w:t>
      </w:r>
    </w:p>
    <w:p w:rsidR="00A92F63" w:rsidRPr="00EC42C0" w:rsidRDefault="00A92F63" w:rsidP="00A92F63">
      <w:pPr>
        <w:spacing w:line="480" w:lineRule="auto"/>
        <w:rPr>
          <w:rFonts w:ascii="Bookman Old Style" w:hAnsi="Bookman Old Style" w:cs="Arial"/>
          <w:color w:val="000000"/>
        </w:rPr>
      </w:pPr>
    </w:p>
    <w:p w:rsidR="00A92F63" w:rsidRPr="00EC42C0" w:rsidRDefault="00A92F63" w:rsidP="00A92F6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Afundamento da camada asfáltica, localizada</w:t>
      </w:r>
      <w:r w:rsidRPr="00C1617C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Dante Tortelli em frente ao nº. 145,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92F63" w:rsidRPr="00EC42C0" w:rsidRDefault="00A92F63" w:rsidP="00A92F6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92F63" w:rsidRDefault="00A92F63" w:rsidP="00A92F6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</w:t>
      </w:r>
      <w:r>
        <w:rPr>
          <w:rFonts w:ascii="Bookman Old Style" w:hAnsi="Bookman Old Style" w:cs="Arial"/>
          <w:color w:val="000000"/>
        </w:rPr>
        <w:t>DAE que proceda  reparos no local em virtude de haver infiltrações, permitindo que a água da chuva penetre na camada asfáltica. (Observação desde  dezembro os moradores vem reclamando do afundamento e nenhuma providência ainda foi tomada.)</w:t>
      </w:r>
    </w:p>
    <w:p w:rsidR="00A92F63" w:rsidRPr="00EC42C0" w:rsidRDefault="00A92F63" w:rsidP="00A92F6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92F63" w:rsidRPr="00EC42C0" w:rsidRDefault="00A92F63" w:rsidP="00A92F6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92F63" w:rsidRPr="00EC42C0" w:rsidRDefault="00A92F63" w:rsidP="00A92F63">
      <w:pPr>
        <w:jc w:val="both"/>
        <w:rPr>
          <w:rFonts w:ascii="Bookman Old Style" w:hAnsi="Bookman Old Style"/>
        </w:rPr>
      </w:pPr>
    </w:p>
    <w:p w:rsidR="00A92F63" w:rsidRPr="00EC42C0" w:rsidRDefault="00A92F63" w:rsidP="00A92F63">
      <w:pPr>
        <w:jc w:val="both"/>
        <w:rPr>
          <w:rFonts w:ascii="Bookman Old Style" w:hAnsi="Bookman Old Style"/>
        </w:rPr>
      </w:pPr>
    </w:p>
    <w:p w:rsidR="00A92F63" w:rsidRDefault="00A92F63" w:rsidP="00A92F63">
      <w:pPr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jc w:val="center"/>
        <w:rPr>
          <w:rFonts w:ascii="Bookman Old Style" w:hAnsi="Bookman Old Style"/>
        </w:rPr>
      </w:pPr>
    </w:p>
    <w:p w:rsidR="00A92F63" w:rsidRPr="009F49E3" w:rsidRDefault="00A92F63" w:rsidP="00A92F63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A92F63" w:rsidRPr="009F49E3" w:rsidRDefault="00A92F63" w:rsidP="00A92F63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A92F63" w:rsidRPr="00EC42C0" w:rsidRDefault="00A92F63" w:rsidP="00A92F63">
      <w:pPr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pStyle w:val="Recuodecorpodetexto2"/>
        <w:jc w:val="center"/>
        <w:rPr>
          <w:rFonts w:ascii="Bookman Old Style" w:hAnsi="Bookman Old Style"/>
        </w:rPr>
      </w:pPr>
    </w:p>
    <w:p w:rsidR="00A92F63" w:rsidRPr="00EC42C0" w:rsidRDefault="00A92F63" w:rsidP="00A92F63">
      <w:pPr>
        <w:pStyle w:val="Recuodecorpodetexto2"/>
        <w:rPr>
          <w:rFonts w:ascii="Bookman Old Style" w:hAnsi="Bookman Old Style"/>
        </w:rPr>
      </w:pPr>
    </w:p>
    <w:p w:rsidR="00A92F63" w:rsidRPr="00EC42C0" w:rsidRDefault="00A92F63" w:rsidP="00A92F6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EC" w:rsidRDefault="003327EC">
      <w:r>
        <w:separator/>
      </w:r>
    </w:p>
  </w:endnote>
  <w:endnote w:type="continuationSeparator" w:id="0">
    <w:p w:rsidR="003327EC" w:rsidRDefault="0033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EC" w:rsidRDefault="003327EC">
      <w:r>
        <w:separator/>
      </w:r>
    </w:p>
  </w:footnote>
  <w:footnote w:type="continuationSeparator" w:id="0">
    <w:p w:rsidR="003327EC" w:rsidRDefault="0033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27EC"/>
    <w:rsid w:val="003D3AA8"/>
    <w:rsid w:val="004C67DE"/>
    <w:rsid w:val="00540EA8"/>
    <w:rsid w:val="009F196D"/>
    <w:rsid w:val="00A9035B"/>
    <w:rsid w:val="00A92F6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92F6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92F6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92F63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