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5E" w:rsidRPr="004B635A" w:rsidRDefault="00362B5E" w:rsidP="00362B5E">
      <w:pPr>
        <w:pStyle w:val="Ttulo"/>
      </w:pPr>
      <w:bookmarkStart w:id="0" w:name="_GoBack"/>
      <w:bookmarkEnd w:id="0"/>
      <w:r w:rsidRPr="004B635A">
        <w:t xml:space="preserve">INDICAÇÃO Nº </w:t>
      </w:r>
      <w:r>
        <w:t>1339</w:t>
      </w:r>
      <w:r w:rsidRPr="004B635A">
        <w:t>/11</w:t>
      </w:r>
    </w:p>
    <w:p w:rsidR="00362B5E" w:rsidRPr="004B635A" w:rsidRDefault="00362B5E" w:rsidP="00362B5E">
      <w:pPr>
        <w:jc w:val="center"/>
        <w:rPr>
          <w:rFonts w:ascii="Bookman Old Style" w:hAnsi="Bookman Old Style"/>
          <w:b/>
          <w:u w:val="single"/>
        </w:rPr>
      </w:pPr>
    </w:p>
    <w:p w:rsidR="00362B5E" w:rsidRPr="004B635A" w:rsidRDefault="00362B5E" w:rsidP="00362B5E">
      <w:pPr>
        <w:jc w:val="center"/>
        <w:rPr>
          <w:rFonts w:ascii="Bookman Old Style" w:hAnsi="Bookman Old Style"/>
          <w:b/>
          <w:u w:val="single"/>
        </w:rPr>
      </w:pPr>
    </w:p>
    <w:p w:rsidR="00362B5E" w:rsidRPr="004B635A" w:rsidRDefault="00362B5E" w:rsidP="00362B5E">
      <w:pPr>
        <w:pStyle w:val="Recuodecorpodetexto"/>
        <w:ind w:left="4440"/>
      </w:pPr>
      <w:r w:rsidRPr="004B635A">
        <w:t xml:space="preserve">“Melhorias na sinalização do solo (pintura de PARE) na </w:t>
      </w:r>
      <w:r>
        <w:t>Avenida São Paulo II com a Rua Limeira, no bairro Cidade Nova</w:t>
      </w:r>
      <w:r w:rsidRPr="004B635A">
        <w:t xml:space="preserve">”. </w:t>
      </w:r>
    </w:p>
    <w:p w:rsidR="00362B5E" w:rsidRPr="004B635A" w:rsidRDefault="00362B5E" w:rsidP="00362B5E">
      <w:pPr>
        <w:ind w:left="1440" w:firstLine="3600"/>
        <w:jc w:val="both"/>
        <w:rPr>
          <w:rFonts w:ascii="Bookman Old Style" w:hAnsi="Bookman Old Style"/>
        </w:rPr>
      </w:pPr>
    </w:p>
    <w:p w:rsidR="00362B5E" w:rsidRPr="004B635A" w:rsidRDefault="00362B5E" w:rsidP="00362B5E">
      <w:pPr>
        <w:ind w:left="1440" w:firstLine="3600"/>
        <w:jc w:val="both"/>
        <w:rPr>
          <w:rFonts w:ascii="Bookman Old Style" w:hAnsi="Bookman Old Style"/>
        </w:rPr>
      </w:pPr>
    </w:p>
    <w:p w:rsidR="00362B5E" w:rsidRPr="005D03F5" w:rsidRDefault="00362B5E" w:rsidP="00362B5E">
      <w:pPr>
        <w:ind w:left="1440" w:firstLine="3600"/>
        <w:jc w:val="both"/>
        <w:rPr>
          <w:rFonts w:ascii="Bookman Old Style" w:hAnsi="Bookman Old Style"/>
        </w:rPr>
      </w:pPr>
    </w:p>
    <w:p w:rsidR="00362B5E" w:rsidRPr="00665EEC" w:rsidRDefault="00362B5E" w:rsidP="00362B5E">
      <w:pPr>
        <w:ind w:firstLine="1440"/>
        <w:jc w:val="both"/>
        <w:rPr>
          <w:rFonts w:ascii="Bookman Old Style" w:hAnsi="Bookman Old Style"/>
          <w:b/>
        </w:rPr>
      </w:pPr>
      <w:r w:rsidRPr="00665EEC">
        <w:rPr>
          <w:rFonts w:ascii="Bookman Old Style" w:hAnsi="Bookman Old Style"/>
          <w:b/>
          <w:bCs/>
        </w:rPr>
        <w:t>INDICA</w:t>
      </w:r>
      <w:r w:rsidRPr="00665EEC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Avenida São Paulo II com a Rua Limeira, no bairro Cidade Nova.</w:t>
      </w:r>
    </w:p>
    <w:p w:rsidR="00362B5E" w:rsidRDefault="00362B5E" w:rsidP="00362B5E">
      <w:pPr>
        <w:jc w:val="center"/>
        <w:rPr>
          <w:rFonts w:ascii="Bookman Old Style" w:hAnsi="Bookman Old Style"/>
          <w:b/>
        </w:rPr>
      </w:pPr>
    </w:p>
    <w:p w:rsidR="00362B5E" w:rsidRDefault="00362B5E" w:rsidP="00362B5E">
      <w:pPr>
        <w:jc w:val="center"/>
        <w:rPr>
          <w:rFonts w:ascii="Bookman Old Style" w:hAnsi="Bookman Old Style"/>
          <w:b/>
        </w:rPr>
      </w:pPr>
    </w:p>
    <w:p w:rsidR="00362B5E" w:rsidRDefault="00362B5E" w:rsidP="00362B5E">
      <w:pPr>
        <w:jc w:val="center"/>
        <w:rPr>
          <w:rFonts w:ascii="Bookman Old Style" w:hAnsi="Bookman Old Style"/>
          <w:b/>
        </w:rPr>
      </w:pPr>
    </w:p>
    <w:p w:rsidR="00362B5E" w:rsidRDefault="00362B5E" w:rsidP="00362B5E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362B5E" w:rsidRPr="004B635A" w:rsidRDefault="00362B5E" w:rsidP="00362B5E">
      <w:pPr>
        <w:jc w:val="both"/>
        <w:rPr>
          <w:rFonts w:ascii="Bookman Old Style" w:hAnsi="Bookman Old Style"/>
          <w:b/>
        </w:rPr>
      </w:pPr>
    </w:p>
    <w:p w:rsidR="00362B5E" w:rsidRPr="004B635A" w:rsidRDefault="00362B5E" w:rsidP="00362B5E">
      <w:pPr>
        <w:jc w:val="both"/>
        <w:rPr>
          <w:rFonts w:ascii="Bookman Old Style" w:hAnsi="Bookman Old Style"/>
          <w:b/>
        </w:rPr>
      </w:pPr>
    </w:p>
    <w:p w:rsidR="00362B5E" w:rsidRPr="004B635A" w:rsidRDefault="00362B5E" w:rsidP="00362B5E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  <w:r>
        <w:rPr>
          <w:rFonts w:ascii="Bookman Old Style" w:hAnsi="Bookman Old Style"/>
        </w:rPr>
        <w:t xml:space="preserve"> </w:t>
      </w: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362B5E" w:rsidRPr="004B635A" w:rsidRDefault="00362B5E" w:rsidP="00362B5E">
      <w:pPr>
        <w:ind w:firstLine="1440"/>
        <w:jc w:val="both"/>
        <w:rPr>
          <w:rFonts w:ascii="Bookman Old Style" w:hAnsi="Bookman Old Style"/>
          <w:b/>
        </w:rPr>
      </w:pPr>
    </w:p>
    <w:p w:rsidR="00362B5E" w:rsidRDefault="00362B5E" w:rsidP="00362B5E">
      <w:pPr>
        <w:ind w:firstLine="1440"/>
        <w:outlineLvl w:val="0"/>
        <w:rPr>
          <w:rFonts w:ascii="Bookman Old Style" w:hAnsi="Bookman Old Style"/>
        </w:rPr>
      </w:pPr>
    </w:p>
    <w:p w:rsidR="00362B5E" w:rsidRPr="004B635A" w:rsidRDefault="00362B5E" w:rsidP="00362B5E">
      <w:pPr>
        <w:ind w:firstLine="1440"/>
        <w:outlineLvl w:val="0"/>
        <w:rPr>
          <w:rFonts w:ascii="Bookman Old Style" w:hAnsi="Bookman Old Style"/>
        </w:rPr>
      </w:pPr>
    </w:p>
    <w:p w:rsidR="00362B5E" w:rsidRPr="004B635A" w:rsidRDefault="00362B5E" w:rsidP="00362B5E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 de Abril</w:t>
      </w:r>
      <w:r w:rsidRPr="004B635A">
        <w:rPr>
          <w:rFonts w:ascii="Bookman Old Style" w:hAnsi="Bookman Old Style"/>
        </w:rPr>
        <w:t xml:space="preserve"> de 2011.</w:t>
      </w:r>
    </w:p>
    <w:p w:rsidR="00362B5E" w:rsidRPr="004B635A" w:rsidRDefault="00362B5E" w:rsidP="00362B5E">
      <w:pPr>
        <w:rPr>
          <w:rFonts w:ascii="Bookman Old Style" w:hAnsi="Bookman Old Style"/>
        </w:rPr>
      </w:pPr>
    </w:p>
    <w:p w:rsidR="00362B5E" w:rsidRPr="004B635A" w:rsidRDefault="00362B5E" w:rsidP="00362B5E">
      <w:pPr>
        <w:ind w:firstLine="1440"/>
        <w:rPr>
          <w:rFonts w:ascii="Bookman Old Style" w:hAnsi="Bookman Old Style"/>
        </w:rPr>
      </w:pPr>
    </w:p>
    <w:p w:rsidR="00362B5E" w:rsidRPr="004B635A" w:rsidRDefault="00362B5E" w:rsidP="00362B5E">
      <w:pPr>
        <w:jc w:val="center"/>
        <w:outlineLvl w:val="0"/>
        <w:rPr>
          <w:rFonts w:ascii="Bookman Old Style" w:hAnsi="Bookman Old Style"/>
          <w:b/>
        </w:rPr>
      </w:pPr>
    </w:p>
    <w:p w:rsidR="00362B5E" w:rsidRPr="004B635A" w:rsidRDefault="00362B5E" w:rsidP="00362B5E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362B5E" w:rsidRDefault="00362B5E" w:rsidP="00362B5E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362B5E" w:rsidRDefault="00362B5E" w:rsidP="00362B5E">
      <w:pPr>
        <w:ind w:firstLine="120"/>
        <w:jc w:val="center"/>
        <w:outlineLvl w:val="0"/>
        <w:rPr>
          <w:rFonts w:ascii="Bookman Old Style" w:hAnsi="Bookman Old Style"/>
        </w:rPr>
      </w:pPr>
    </w:p>
    <w:p w:rsidR="00362B5E" w:rsidRDefault="00362B5E" w:rsidP="00362B5E">
      <w:pPr>
        <w:ind w:firstLine="120"/>
        <w:jc w:val="center"/>
        <w:outlineLvl w:val="0"/>
        <w:rPr>
          <w:rFonts w:ascii="Bookman Old Style" w:hAnsi="Bookman Old Style"/>
        </w:rPr>
      </w:pPr>
    </w:p>
    <w:p w:rsidR="00362B5E" w:rsidRDefault="00362B5E" w:rsidP="00362B5E">
      <w:pPr>
        <w:ind w:firstLine="120"/>
        <w:jc w:val="center"/>
        <w:outlineLvl w:val="0"/>
        <w:rPr>
          <w:rFonts w:ascii="Bookman Old Style" w:hAnsi="Bookman Old Style"/>
        </w:rPr>
      </w:pPr>
    </w:p>
    <w:p w:rsidR="00362B5E" w:rsidRDefault="00362B5E" w:rsidP="00362B5E">
      <w:pPr>
        <w:ind w:firstLine="120"/>
        <w:jc w:val="center"/>
        <w:outlineLvl w:val="0"/>
        <w:rPr>
          <w:rFonts w:ascii="Bookman Old Style" w:hAnsi="Bookman Old Style"/>
        </w:rPr>
      </w:pPr>
    </w:p>
    <w:p w:rsidR="00362B5E" w:rsidRDefault="00362B5E" w:rsidP="00362B5E">
      <w:pPr>
        <w:ind w:firstLine="120"/>
        <w:jc w:val="center"/>
        <w:outlineLvl w:val="0"/>
        <w:rPr>
          <w:rFonts w:ascii="Bookman Old Style" w:hAnsi="Bookman Old Style"/>
        </w:rPr>
      </w:pPr>
    </w:p>
    <w:p w:rsidR="00362B5E" w:rsidRDefault="00362B5E" w:rsidP="00362B5E">
      <w:pPr>
        <w:ind w:firstLine="120"/>
        <w:jc w:val="center"/>
        <w:outlineLvl w:val="0"/>
        <w:rPr>
          <w:rFonts w:ascii="Bookman Old Style" w:hAnsi="Bookman Old Style"/>
        </w:rPr>
      </w:pPr>
    </w:p>
    <w:p w:rsidR="00362B5E" w:rsidRDefault="00362B5E" w:rsidP="00362B5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38" w:rsidRDefault="00830938">
      <w:r>
        <w:separator/>
      </w:r>
    </w:p>
  </w:endnote>
  <w:endnote w:type="continuationSeparator" w:id="0">
    <w:p w:rsidR="00830938" w:rsidRDefault="008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38" w:rsidRDefault="00830938">
      <w:r>
        <w:separator/>
      </w:r>
    </w:p>
  </w:footnote>
  <w:footnote w:type="continuationSeparator" w:id="0">
    <w:p w:rsidR="00830938" w:rsidRDefault="0083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5AD"/>
    <w:rsid w:val="00362B5E"/>
    <w:rsid w:val="003D3AA8"/>
    <w:rsid w:val="004C67DE"/>
    <w:rsid w:val="0083093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2B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2B5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