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D2" w:rsidRDefault="009824D2" w:rsidP="009824D2">
      <w:pPr>
        <w:pStyle w:val="Ttulo"/>
      </w:pPr>
      <w:bookmarkStart w:id="0" w:name="_GoBack"/>
      <w:bookmarkEnd w:id="0"/>
      <w:r>
        <w:t>INDICAÇÃO Nº                       1637         /2011</w:t>
      </w:r>
    </w:p>
    <w:p w:rsidR="009824D2" w:rsidRDefault="009824D2" w:rsidP="009824D2">
      <w:pPr>
        <w:jc w:val="center"/>
        <w:rPr>
          <w:rFonts w:ascii="Bookman Old Style" w:hAnsi="Bookman Old Style"/>
          <w:b/>
          <w:u w:val="single"/>
        </w:rPr>
      </w:pPr>
    </w:p>
    <w:p w:rsidR="009824D2" w:rsidRDefault="009824D2" w:rsidP="009824D2">
      <w:pPr>
        <w:jc w:val="center"/>
        <w:rPr>
          <w:rFonts w:ascii="Bookman Old Style" w:hAnsi="Bookman Old Style"/>
          <w:b/>
          <w:u w:val="single"/>
        </w:rPr>
      </w:pPr>
    </w:p>
    <w:p w:rsidR="009824D2" w:rsidRDefault="009824D2" w:rsidP="009824D2">
      <w:pPr>
        <w:pStyle w:val="Recuodecorpodetexto"/>
        <w:ind w:left="4440"/>
      </w:pPr>
      <w:r>
        <w:t>“Revisão quanto aos “tachões” instalados na Rua do Césio, próximo à portaria do Shopping” saída para o Mollon.</w:t>
      </w:r>
    </w:p>
    <w:p w:rsidR="009824D2" w:rsidRDefault="009824D2" w:rsidP="009824D2">
      <w:pPr>
        <w:ind w:left="1440" w:firstLine="3600"/>
        <w:jc w:val="both"/>
        <w:rPr>
          <w:rFonts w:ascii="Bookman Old Style" w:hAnsi="Bookman Old Style"/>
        </w:rPr>
      </w:pPr>
    </w:p>
    <w:p w:rsidR="009824D2" w:rsidRDefault="009824D2" w:rsidP="009824D2">
      <w:pPr>
        <w:ind w:left="1440" w:firstLine="3600"/>
        <w:jc w:val="both"/>
        <w:rPr>
          <w:rFonts w:ascii="Bookman Old Style" w:hAnsi="Bookman Old Style"/>
        </w:rPr>
      </w:pPr>
    </w:p>
    <w:p w:rsidR="009824D2" w:rsidRDefault="009824D2" w:rsidP="009824D2">
      <w:pPr>
        <w:ind w:left="1440" w:firstLine="3600"/>
        <w:jc w:val="both"/>
        <w:rPr>
          <w:rFonts w:ascii="Bookman Old Style" w:hAnsi="Bookman Old Style"/>
        </w:rPr>
      </w:pPr>
    </w:p>
    <w:p w:rsidR="009824D2" w:rsidRDefault="009824D2" w:rsidP="009824D2">
      <w:pPr>
        <w:ind w:left="1440" w:firstLine="3600"/>
        <w:jc w:val="both"/>
        <w:rPr>
          <w:rFonts w:ascii="Bookman Old Style" w:hAnsi="Bookman Old Style"/>
        </w:rPr>
      </w:pPr>
    </w:p>
    <w:p w:rsidR="009824D2" w:rsidRDefault="009824D2" w:rsidP="009824D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estudos quanto aos tachôes fixados no asfalto, antes da mudança da faixa de rolamento na saída do Shopping para o Bairro Mollon.</w:t>
      </w:r>
    </w:p>
    <w:p w:rsidR="009824D2" w:rsidRDefault="009824D2" w:rsidP="009824D2">
      <w:pPr>
        <w:jc w:val="center"/>
        <w:rPr>
          <w:rFonts w:ascii="Bookman Old Style" w:hAnsi="Bookman Old Style"/>
          <w:b/>
        </w:rPr>
      </w:pPr>
    </w:p>
    <w:p w:rsidR="009824D2" w:rsidRDefault="009824D2" w:rsidP="009824D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824D2" w:rsidRDefault="009824D2" w:rsidP="009824D2">
      <w:pPr>
        <w:jc w:val="center"/>
        <w:rPr>
          <w:rFonts w:ascii="Bookman Old Style" w:hAnsi="Bookman Old Style"/>
          <w:b/>
        </w:rPr>
      </w:pPr>
    </w:p>
    <w:p w:rsidR="009824D2" w:rsidRDefault="009824D2" w:rsidP="009824D2">
      <w:pPr>
        <w:jc w:val="center"/>
        <w:rPr>
          <w:rFonts w:ascii="Bookman Old Style" w:hAnsi="Bookman Old Style"/>
          <w:b/>
        </w:rPr>
      </w:pPr>
    </w:p>
    <w:p w:rsidR="009824D2" w:rsidRDefault="009824D2" w:rsidP="009824D2">
      <w:pPr>
        <w:jc w:val="center"/>
        <w:rPr>
          <w:rFonts w:ascii="Bookman Old Style" w:hAnsi="Bookman Old Style"/>
          <w:b/>
        </w:rPr>
      </w:pPr>
    </w:p>
    <w:p w:rsidR="009824D2" w:rsidRDefault="009824D2" w:rsidP="009824D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os tachões foram ali instalados, para que servissem de instrução aos motoristas e separação de faixas antes existentes no local. Atualmente, com a pintura da nova faixa, os referidos tachões encontram-se instalados no centro da faixa, o que vem confundindo motoristas e danificando a suspensão dos veículos que eventualmente passam por eles sem tempo hábil para desviar.</w:t>
      </w:r>
    </w:p>
    <w:p w:rsidR="009824D2" w:rsidRDefault="009824D2" w:rsidP="009824D2">
      <w:pPr>
        <w:ind w:firstLine="1440"/>
        <w:jc w:val="both"/>
        <w:rPr>
          <w:rFonts w:ascii="Bookman Old Style" w:hAnsi="Bookman Old Style"/>
        </w:rPr>
      </w:pPr>
    </w:p>
    <w:p w:rsidR="009824D2" w:rsidRDefault="009824D2" w:rsidP="009824D2">
      <w:pPr>
        <w:ind w:firstLine="1440"/>
        <w:jc w:val="both"/>
        <w:outlineLvl w:val="0"/>
        <w:rPr>
          <w:rFonts w:ascii="Bookman Old Style" w:hAnsi="Bookman Old Style"/>
        </w:rPr>
      </w:pPr>
    </w:p>
    <w:p w:rsidR="009824D2" w:rsidRDefault="009824D2" w:rsidP="009824D2">
      <w:pPr>
        <w:ind w:firstLine="1440"/>
        <w:outlineLvl w:val="0"/>
        <w:rPr>
          <w:rFonts w:ascii="Bookman Old Style" w:hAnsi="Bookman Old Style"/>
        </w:rPr>
      </w:pPr>
    </w:p>
    <w:p w:rsidR="009824D2" w:rsidRDefault="009824D2" w:rsidP="009824D2">
      <w:pPr>
        <w:ind w:firstLine="1440"/>
        <w:outlineLvl w:val="0"/>
        <w:rPr>
          <w:rFonts w:ascii="Bookman Old Style" w:hAnsi="Bookman Old Style"/>
        </w:rPr>
      </w:pPr>
    </w:p>
    <w:p w:rsidR="009824D2" w:rsidRDefault="009824D2" w:rsidP="009824D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maio de 2011.</w:t>
      </w:r>
    </w:p>
    <w:p w:rsidR="009824D2" w:rsidRDefault="009824D2" w:rsidP="009824D2">
      <w:pPr>
        <w:ind w:firstLine="1440"/>
        <w:rPr>
          <w:rFonts w:ascii="Bookman Old Style" w:hAnsi="Bookman Old Style"/>
        </w:rPr>
      </w:pPr>
    </w:p>
    <w:p w:rsidR="009824D2" w:rsidRDefault="009824D2" w:rsidP="009824D2">
      <w:pPr>
        <w:rPr>
          <w:rFonts w:ascii="Bookman Old Style" w:hAnsi="Bookman Old Style"/>
        </w:rPr>
      </w:pPr>
    </w:p>
    <w:p w:rsidR="009824D2" w:rsidRDefault="009824D2" w:rsidP="009824D2">
      <w:pPr>
        <w:ind w:firstLine="1440"/>
        <w:rPr>
          <w:rFonts w:ascii="Bookman Old Style" w:hAnsi="Bookman Old Style"/>
        </w:rPr>
      </w:pPr>
    </w:p>
    <w:p w:rsidR="009824D2" w:rsidRDefault="009824D2" w:rsidP="009824D2">
      <w:pPr>
        <w:ind w:firstLine="1440"/>
        <w:rPr>
          <w:rFonts w:ascii="Bookman Old Style" w:hAnsi="Bookman Old Style"/>
        </w:rPr>
      </w:pPr>
    </w:p>
    <w:p w:rsidR="009824D2" w:rsidRDefault="009824D2" w:rsidP="009824D2">
      <w:pPr>
        <w:ind w:firstLine="1440"/>
        <w:rPr>
          <w:rFonts w:ascii="Bookman Old Style" w:hAnsi="Bookman Old Style"/>
        </w:rPr>
      </w:pPr>
    </w:p>
    <w:p w:rsidR="009824D2" w:rsidRDefault="009824D2" w:rsidP="009824D2">
      <w:pPr>
        <w:jc w:val="center"/>
        <w:outlineLvl w:val="0"/>
        <w:rPr>
          <w:rFonts w:ascii="Bookman Old Style" w:hAnsi="Bookman Old Style"/>
          <w:b/>
        </w:rPr>
      </w:pPr>
    </w:p>
    <w:p w:rsidR="009824D2" w:rsidRDefault="009824D2" w:rsidP="009824D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824D2" w:rsidRDefault="009824D2" w:rsidP="009824D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824D2" w:rsidRDefault="009824D2" w:rsidP="009824D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6A" w:rsidRDefault="00D76B6A">
      <w:r>
        <w:separator/>
      </w:r>
    </w:p>
  </w:endnote>
  <w:endnote w:type="continuationSeparator" w:id="0">
    <w:p w:rsidR="00D76B6A" w:rsidRDefault="00D7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6A" w:rsidRDefault="00D76B6A">
      <w:r>
        <w:separator/>
      </w:r>
    </w:p>
  </w:footnote>
  <w:footnote w:type="continuationSeparator" w:id="0">
    <w:p w:rsidR="00D76B6A" w:rsidRDefault="00D7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824D2"/>
    <w:rsid w:val="009F196D"/>
    <w:rsid w:val="00A9035B"/>
    <w:rsid w:val="00B063AD"/>
    <w:rsid w:val="00CD613B"/>
    <w:rsid w:val="00D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24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24D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